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E77BA" w:rsidRPr="00421CF3">
      <w:pPr>
        <w:contextualSpacing/>
        <w:rPr>
          <w:sz w:val="20"/>
          <w:szCs w:val="20"/>
        </w:rPr>
      </w:pPr>
      <w:r>
        <w:rPr>
          <w:noProof/>
          <w:sz w:val="20"/>
          <w:szCs w:val="20"/>
        </w:rPr>
        <w:drawing>
          <wp:inline distT="0" distB="0" distL="0" distR="0">
            <wp:extent cx="2463055" cy="1155127"/>
            <wp:effectExtent l="0" t="0" r="1270" b="635"/>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2671491" cy="1252880"/>
                    </a:xfrm>
                    <a:prstGeom prst="rect">
                      <a:avLst/>
                    </a:prstGeom>
                  </pic:spPr>
                </pic:pic>
              </a:graphicData>
            </a:graphic>
          </wp:inline>
        </w:drawing>
      </w:r>
      <w:r>
        <w:rPr>
          <w:sz w:val="20"/>
          <w:szCs w:val="20"/>
        </w:rPr>
        <w:t xml:space="preserve">        </w:t>
      </w:r>
      <w:r w:rsidR="00960A9B">
        <w:rPr>
          <w:noProof/>
          <w:sz w:val="20"/>
          <w:szCs w:val="20"/>
        </w:rPr>
        <w:drawing>
          <wp:inline distT="0" distB="0" distL="0" distR="0">
            <wp:extent cx="1476375" cy="1476375"/>
            <wp:effectExtent l="0" t="0" r="9525" b="9525"/>
            <wp:docPr id="176714960" name="Picture 1" descr="A logo for a medical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4960" name="Picture 1" descr="A logo for a medical education&#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476704" cy="1476704"/>
                    </a:xfrm>
                    <a:prstGeom prst="rect">
                      <a:avLst/>
                    </a:prstGeom>
                  </pic:spPr>
                </pic:pic>
              </a:graphicData>
            </a:graphic>
          </wp:inline>
        </w:drawing>
      </w:r>
    </w:p>
    <w:p w:rsidR="00CE77BA" w:rsidRPr="00421CF3">
      <w:pPr>
        <w:contextualSpacing/>
        <w:rPr>
          <w:sz w:val="20"/>
          <w:szCs w:val="20"/>
        </w:rPr>
      </w:pPr>
    </w:p>
    <w:p w:rsidR="001F33CA" w:rsidRPr="001F33CA" w:rsidP="00542E4B">
      <w:pPr>
        <w:rPr>
          <w:rFonts w:cstheme="minorHAnsi"/>
          <w:w w:val="110"/>
        </w:rPr>
      </w:pPr>
    </w:p>
    <w:p w:rsidR="00CE77BA" w:rsidRPr="00CF3B37">
      <w:pPr>
        <w:rPr>
          <w:rFonts w:cstheme="minorHAnsi"/>
        </w:rPr>
      </w:pPr>
      <w:r w:rsidRPr="001F33CA">
        <w:rPr>
          <w:rFonts w:cstheme="minorHAnsi"/>
          <w:b/>
          <w:bCs/>
        </w:rPr>
        <w:t>Date:</w:t>
      </w:r>
      <w:r w:rsidRPr="00CF3B37">
        <w:rPr>
          <w:rFonts w:cstheme="minorHAnsi"/>
        </w:rPr>
        <w:t xml:space="preserve"> </w:t>
      </w:r>
      <w:r w:rsidRPr="00CF3B37" w:rsidR="00DF4712">
        <w:t>Wednesday 07 January 2026</w:t>
      </w:r>
    </w:p>
    <w:p w:rsidR="00CE77BA" w:rsidRPr="00CF3B37">
      <w:pPr>
        <w:rPr>
          <w:rFonts w:cstheme="minorHAnsi"/>
        </w:rPr>
      </w:pPr>
      <w:r w:rsidRPr="001F33CA">
        <w:rPr>
          <w:rFonts w:cstheme="minorHAnsi"/>
          <w:b/>
          <w:bCs/>
        </w:rPr>
        <w:t>Time:</w:t>
      </w:r>
      <w:r w:rsidRPr="001F33CA" w:rsidR="00DF4712">
        <w:rPr>
          <w:rFonts w:cstheme="minorHAnsi"/>
          <w:b/>
          <w:bCs/>
        </w:rPr>
        <w:t xml:space="preserve"> </w:t>
      </w:r>
      <w:r w:rsidRPr="00CF3B37" w:rsidR="00DF4712">
        <w:t>05:30 PM</w:t>
      </w:r>
      <w:r w:rsidRPr="00CF3B37">
        <w:rPr>
          <w:rFonts w:cstheme="minorHAnsi"/>
        </w:rPr>
        <w:fldChar w:fldCharType="begin"/>
      </w:r>
      <w:r w:rsidRPr="00CF3B37">
        <w:rPr>
          <w:rFonts w:cstheme="minorHAnsi"/>
        </w:rPr>
        <w:instrText xml:space="preserve"> IF </w:instrText>
      </w:r>
      <w:r w:rsidR="009D4529">
        <w:rPr>
          <w:rFonts w:cstheme="minorHAnsi"/>
        </w:rPr>
        <w:instrText>"</w:instrText>
      </w:r>
      <w:r w:rsidR="009D4529">
        <w:rPr>
          <w:rFonts w:cstheme="minorHAnsi"/>
        </w:rPr>
        <w:instrText>Allergy And Immunology, Anesthesiology, Colon And Rectal Surgery, Dermatology, Dental Surgery, Emergency Medicine, Family Medicine, Internal Medicine, Medical Genetics And Genomics, Neurological Surgery, Nuclear Medicine, Obstetrics And Gynecology, Ophthalmology, Orthopaedic Surgery, Otolaryngology-Head And Neck Surgery, Pathology, Pediatrics, Physical Medicine And Rehabilitation, Plastic Surgery, Preventive Medicine, Psychiatry And Neurology, Psychology, Radiology, Surgery, Thoracic Surgery, Urology, Medical Oncology, Complex General Surgical Oncology</w:instrText>
      </w:r>
      <w:r w:rsidR="009D4529">
        <w:rPr>
          <w:rFonts w:cstheme="minorHAnsi"/>
        </w:rPr>
        <w:instrText>"</w:instrText>
      </w:r>
      <w:r w:rsidR="009D4529">
        <w:rPr>
          <w:rFonts w:cstheme="minorHAnsi"/>
        </w:rPr>
        <w:instrText xml:space="preserve"> </w:instrText>
      </w:r>
      <w:r w:rsidRPr="00CF3B37">
        <w:rPr>
          <w:rFonts w:cstheme="minorHAnsi"/>
        </w:rPr>
        <w:instrText>&lt;&gt; "" "</w:instrText>
      </w:r>
    </w:p>
    <w:p w:rsidR="00CE77BA" w:rsidRPr="00CF3B37">
      <w:pPr>
        <w:rPr>
          <w:rFonts w:cstheme="minorHAnsi"/>
        </w:rPr>
      </w:pPr>
    </w:p>
    <w:p w:rsidR="009E03AD" w:rsidRPr="00CF3B37">
      <w:pPr>
        <w:rPr>
          <w:rFonts w:cstheme="minorHAnsi"/>
          <w:noProof/>
        </w:rPr>
      </w:pPr>
      <w:r w:rsidRPr="00CF3B37">
        <w:rPr>
          <w:rFonts w:cstheme="minorHAnsi"/>
          <w:b/>
          <w:bCs/>
        </w:rPr>
        <w:instrText>Target Audience:</w:instrText>
      </w:r>
      <w:r w:rsidR="009D4529">
        <w:rPr>
          <w:rFonts w:cstheme="minorHAnsi"/>
        </w:rPr>
        <w:instrText xml:space="preserve"> </w:instrText>
      </w:r>
      <w:r w:rsidR="009D4529">
        <w:rPr>
          <w:rFonts w:cstheme="minorHAnsi"/>
        </w:rPr>
        <w:instrText>Allergy And Immunology, Anesthesiology, Colon And Rectal Surgery, Dermatology, Dental Surgery, Emergency Medicine, Family Medicine, Internal Medicine, Medical Genetics And Genomics, Neurological Surgery, Nuclear Medicine, Obstetrics And Gynecology, Ophthalmology, Orthopaedic Surgery, Otolaryngology-Head And Neck Surgery, Pathology, Pediatrics, Physical Medicine And Rehabilitation, Plastic Surgery, Preventive Medicine, Psychiatry And Neurology, Psychology, Radiology, Surgery, Thoracic Surgery, Urology, Medical Oncology, Complex General Surgical Oncology</w:instrText>
      </w:r>
      <w:r w:rsidRPr="00CF3B37">
        <w:rPr>
          <w:rFonts w:cstheme="minorHAnsi"/>
        </w:rPr>
        <w:instrText>"</w:instrText>
      </w:r>
      <w:r w:rsidR="009D4529">
        <w:rPr>
          <w:rFonts w:cstheme="minorHAnsi"/>
        </w:rPr>
        <w:instrText xml:space="preserve"> ""</w:instrText>
      </w:r>
      <w:r w:rsidRPr="00CF3B37">
        <w:rPr>
          <w:rFonts w:cstheme="minorHAnsi"/>
        </w:rPr>
        <w:instrText xml:space="preserve"> </w:instrText>
      </w:r>
      <w:r w:rsidRPr="00CF3B37">
        <w:rPr>
          <w:rFonts w:cstheme="minorHAnsi"/>
        </w:rPr>
        <w:fldChar w:fldCharType="separate"/>
      </w:r>
    </w:p>
    <w:p w:rsidR="00CE77BA" w:rsidRPr="00CF3B37">
      <w:pPr>
        <w:rPr>
          <w:rFonts w:cstheme="minorHAnsi"/>
        </w:rPr>
      </w:pPr>
    </w:p>
    <w:p w:rsidR="00CE77BA" w:rsidRPr="00CF3B37">
      <w:pPr>
        <w:rPr>
          <w:rFonts w:cstheme="minorHAnsi"/>
        </w:rPr>
      </w:pPr>
      <w:r w:rsidRPr="00CF3B37">
        <w:rPr>
          <w:rFonts w:cstheme="minorHAnsi"/>
          <w:b/>
          <w:bCs/>
        </w:rPr>
        <w:t>Target Audience:</w:t>
      </w:r>
      <w:r w:rsidR="009D4529">
        <w:rPr>
          <w:rFonts w:cstheme="minorHAnsi"/>
        </w:rPr>
        <w:t xml:space="preserve"> </w:t>
      </w:r>
      <w:r w:rsidR="009D4529">
        <w:rPr>
          <w:rFonts w:cstheme="minorHAnsi"/>
        </w:rPr>
        <w:t>Allergy And Immunology, Anesthesiology, Colon And Rectal Surgery, Dermatology, Dental Surgery, Emergency Medicine, Family Medicine, Internal Medicine, Medical Genetics And Genomics, Neurological Surgery, Nuclear Medicine, Obstetrics And Gynecology, Ophthalmology, Orthopaedic Surgery, Otolaryngology-Head And Neck Surgery, Pathology, Pediatrics, Physical Medicine And Rehabilitation, Plastic Surgery, Preventive Medicine, Psychiatry And Neurology, Psychology, Radiology, Surgery, Thoracic Surgery, Urology, Medical Oncology, Complex General Surgical Oncology</w:t>
      </w:r>
      <w:r w:rsidRPr="00CF3B37">
        <w:rPr>
          <w:rFonts w:cstheme="minorHAnsi"/>
        </w:rPr>
        <w:fldChar w:fldCharType="end"/>
      </w:r>
      <w:r w:rsidRPr="00CF3B37" w:rsidR="00DF4712">
        <w:rPr>
          <w:noProof/>
        </w:rPr>
        <w:t xml:space="preserve"> </w:t>
      </w:r>
    </w:p>
    <w:p w:rsidR="00CE77BA" w:rsidRPr="00CF3B37">
      <w:pPr>
        <w:rPr>
          <w:rFonts w:cstheme="minorHAnsi"/>
        </w:rPr>
      </w:pPr>
    </w:p>
    <w:p w:rsidR="00CE77BA" w:rsidRPr="00CF3B37">
      <w:pPr>
        <w:rPr>
          <w:rFonts w:cstheme="minorHAnsi"/>
        </w:rPr>
      </w:pPr>
      <w:r w:rsidRPr="00CF3B37">
        <w:rPr>
          <w:rFonts w:cstheme="minorHAnsi"/>
          <w:b/>
          <w:bCs/>
        </w:rPr>
        <w:t>Topic:</w:t>
      </w:r>
      <w:r w:rsidRPr="00CF3B37">
        <w:rPr>
          <w:rFonts w:cstheme="minorHAnsi"/>
        </w:rPr>
        <w:t xml:space="preserve"> </w:t>
      </w:r>
      <w:r w:rsidRPr="00CF3B37" w:rsidR="00DF4712">
        <w:t>“</w:t>
      </w:r>
      <w:r>
        <w:t>2026 SJCI Grand Rounds</w:t>
      </w:r>
      <w:r w:rsidRPr="00CF3B37" w:rsidR="00DF4712">
        <w:t>”</w:t>
      </w:r>
    </w:p>
    <w:p w:rsidR="00CE77BA" w:rsidRPr="00CE77BA">
      <w:pPr>
        <w:rPr>
          <w:rFonts w:cstheme="minorHAnsi"/>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rsidTr="00DC7118">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10780" w:type="dxa"/>
            <w:shd w:val="clear" w:color="auto" w:fill="00B1F1"/>
          </w:tcPr>
          <w:p w:rsidR="00CE77BA" w:rsidRPr="00CE77BA" w:rsidP="00DC7118">
            <w:pPr>
              <w:rPr>
                <w:rFonts w:cstheme="minorHAnsi"/>
                <w:color w:val="FFFFFF" w:themeColor="background1"/>
              </w:rPr>
            </w:pPr>
            <w:r w:rsidRPr="00CE77BA">
              <w:rPr>
                <w:rFonts w:cstheme="minorHAnsi"/>
                <w:b/>
                <w:bCs/>
                <w:color w:val="FFFFFF" w:themeColor="background1"/>
              </w:rPr>
              <w:t>Describe this activity</w:t>
            </w:r>
            <w:r w:rsidRPr="00CE77BA">
              <w:rPr>
                <w:rFonts w:cstheme="minorHAnsi"/>
                <w:color w:val="FFFFFF" w:themeColor="background1"/>
              </w:rPr>
              <w:t xml:space="preserve"> </w:t>
            </w:r>
          </w:p>
        </w:tc>
      </w:tr>
      <w:tr w:rsidTr="00A7204A">
        <w:tblPrEx>
          <w:tblW w:w="0" w:type="auto"/>
          <w:tblLook w:val="04A0"/>
        </w:tblPrEx>
        <w:tc>
          <w:tcPr>
            <w:tcW w:w="10780" w:type="dxa"/>
          </w:tcPr>
          <w:p w:rsidR="00CE77BA" w:rsidRPr="00CE77BA">
            <w:pPr>
              <w:bidi w:val="0"/>
              <w:spacing w:after="280" w:afterAutospacing="1"/>
              <w:rPr>
                <w:rFonts w:cstheme="minorHAnsi"/>
              </w:rPr>
            </w:pPr>
            <w:r>
              <w:rPr>
                <w:b/>
                <w:bCs/>
                <w:color w:val="FF0000"/>
                <w:rtl w:val="0"/>
              </w:rPr>
              <w:t>Text the code</w:t>
            </w:r>
            <w:r>
              <w:rPr>
                <w:b/>
                <w:bCs/>
                <w:color w:val="000000"/>
                <w:rtl w:val="0"/>
              </w:rPr>
              <w:t xml:space="preserve"> </w:t>
            </w:r>
            <w:r>
              <w:rPr>
                <w:b/>
                <w:bCs/>
                <w:color w:val="FF0000"/>
                <w:rtl w:val="0"/>
              </w:rPr>
              <w:t>3770</w:t>
            </w:r>
            <w:r>
              <w:rPr>
                <w:rtl w:val="0"/>
              </w:rPr>
              <w:t> </w:t>
            </w:r>
            <w:r>
              <w:rPr>
                <w:color w:val="000000"/>
                <w:rtl w:val="0"/>
              </w:rPr>
              <w:t xml:space="preserve">to the CloudCME phone number </w:t>
            </w:r>
            <w:r>
              <w:rPr>
                <w:b/>
                <w:bCs/>
                <w:color w:val="000000"/>
                <w:rtl w:val="0"/>
              </w:rPr>
              <w:t>(844) 626-1442</w:t>
            </w:r>
            <w:r>
              <w:rPr>
                <w:color w:val="000000"/>
                <w:rtl w:val="0"/>
              </w:rPr>
              <w:t xml:space="preserve"> to record your attendance during the meeting.</w:t>
            </w:r>
          </w:p>
          <w:p>
            <w:pPr>
              <w:bidi w:val="0"/>
              <w:spacing w:after="280" w:afterAutospacing="1"/>
              <w:rPr>
                <w:rtl w:val="0"/>
              </w:rPr>
            </w:pPr>
            <w:r>
              <w:rPr>
                <w:rtl w:val="0"/>
              </w:rPr>
              <w:t xml:space="preserve">Saint John's Cancer Institute Grand Rounds is a regularly scheduled 1 hour presentation series on topics pertaining to cancer including translational science, biostatistics, genetics, population studies and epidemiology, patient outcomes, and costs of care. The topics covered include solid and hematologic malignancies and are relevant for all healthcare workers. </w:t>
            </w:r>
            <w:r>
              <w:rPr>
                <w:b/>
                <w:bCs/>
                <w:color w:val="000000"/>
                <w:rtl w:val="0"/>
              </w:rPr>
              <w:t>This CME activity is for Medical Staff Members and APP's at Providence Saint John's Health Center.</w:t>
            </w:r>
          </w:p>
          <w:p>
            <w:pPr>
              <w:bidi w:val="0"/>
              <w:spacing w:after="280" w:afterAutospacing="1"/>
              <w:rPr>
                <w:rtl w:val="0"/>
              </w:rPr>
            </w:pPr>
            <w:r>
              <w:rPr>
                <w:rtl w:val="0"/>
              </w:rPr>
              <w:fldChar w:fldCharType="begin"/>
            </w:r>
            <w:r>
              <w:rPr>
                <w:rtl w:val="0"/>
              </w:rPr>
              <w:instrText xml:space="preserve"> HYPERLINK "https://teams.microsoft.com/l/meetup-join/19:meeting_YTcyMzE4NmYtMjkxMC00MzFlLTgyNWEtNmI3YmU5OWQ3OTJk@thread.v2/0?context=%7B%22Tid%22:%222e319086-9a26-46a3-865f-615bed576786%22,%22Oid%22:%2209cd16a5-b6a0-4522-89ea-992490869def%22%7D" \t "_blank" </w:instrText>
            </w:r>
            <w:r>
              <w:rPr>
                <w:rtl w:val="0"/>
              </w:rPr>
              <w:fldChar w:fldCharType="separate"/>
            </w:r>
            <w:r>
              <w:rPr>
                <w:color w:val="0000FF"/>
                <w:u w:val="single"/>
                <w:rtl w:val="0"/>
              </w:rPr>
              <w:t>Click here to join the Teams Meeting</w:t>
            </w:r>
            <w:r>
              <w:rPr>
                <w:rtl w:val="0"/>
              </w:rPr>
              <w:fldChar w:fldCharType="end"/>
            </w:r>
            <w:r>
              <w:rPr>
                <w:rtl w:val="0"/>
              </w:rPr>
              <w:t xml:space="preserve"> </w:t>
            </w:r>
            <w:r>
              <w:rPr>
                <w:rtl w:val="0"/>
              </w:rPr>
              <w:br/>
            </w:r>
            <w:r>
              <w:rPr>
                <w:rtl w:val="0"/>
              </w:rPr>
              <w:t xml:space="preserve">Meeting ID: 214 152 602 035 </w:t>
            </w:r>
            <w:r>
              <w:rPr>
                <w:rtl w:val="0"/>
              </w:rPr>
              <w:br/>
            </w:r>
            <w:r>
              <w:rPr>
                <w:rtl w:val="0"/>
              </w:rPr>
              <w:t xml:space="preserve">Passcode: iYTgVv </w:t>
            </w:r>
          </w:p>
          <w:p>
            <w:pPr>
              <w:bidi w:val="0"/>
              <w:spacing w:after="280" w:afterAutospacing="1"/>
            </w:pPr>
          </w:p>
        </w:tc>
      </w:tr>
      <w:tr w:rsidTr="0040399E">
        <w:tblPrEx>
          <w:tblW w:w="0" w:type="auto"/>
          <w:tblLook w:val="04A0"/>
        </w:tblPrEx>
        <w:tc>
          <w:tcPr>
            <w:tcW w:w="10780" w:type="dxa"/>
            <w:shd w:val="clear" w:color="auto" w:fill="00B1F1"/>
          </w:tcPr>
          <w:p w:rsidR="00CE77BA" w:rsidRPr="00CE77BA" w:rsidP="0040399E">
            <w:pPr>
              <w:rPr>
                <w:rFonts w:cstheme="minorHAnsi"/>
                <w:b/>
                <w:bCs/>
                <w:color w:val="FFFFFF"/>
              </w:rPr>
            </w:pPr>
            <w:r>
              <w:rPr>
                <w:rFonts w:cstheme="minorHAnsi"/>
                <w:b/>
                <w:bCs/>
                <w:color w:val="FFFFFF"/>
              </w:rPr>
              <w:t>Learning Outcomes</w:t>
            </w:r>
          </w:p>
        </w:tc>
      </w:tr>
      <w:tr w:rsidTr="003F04F8">
        <w:tblPrEx>
          <w:tblW w:w="0" w:type="auto"/>
          <w:tblLook w:val="04A0"/>
        </w:tblPrEx>
        <w:tc>
          <w:tcPr>
            <w:tcW w:w="10780" w:type="dxa"/>
            <w:shd w:val="clear" w:color="auto" w:fill="auto"/>
          </w:tcPr>
          <w:p w:rsidR="00CE77BA" w:rsidRPr="00CE77BA" w:rsidP="00DF4712">
            <w:pPr>
              <w:pStyle w:val="Default"/>
              <w:rPr>
                <w:rFonts w:asciiTheme="minorHAnsi" w:hAnsiTheme="minorHAnsi" w:cstheme="minorHAnsi"/>
                <w:color w:val="auto"/>
              </w:rPr>
            </w:pPr>
            <w:r w:rsidRPr="00CF3B37">
              <w:rPr>
                <w:color w:val="auto"/>
              </w:rPr>
              <w:t>1 Analyze the most current data available and write the best treatment plan for that patient.</w:t>
            </w:r>
          </w:p>
          <w:p w:rsidRPr="00CF3B37" w:rsidP="00DF4712">
            <w:pPr>
              <w:pStyle w:val="Default"/>
              <w:rPr>
                <w:color w:val="auto"/>
              </w:rPr>
            </w:pPr>
            <w:r w:rsidRPr="00CF3B37">
              <w:rPr>
                <w:color w:val="auto"/>
              </w:rPr>
              <w:t>2 Refer patients to ancillary services of nutrition, mental health, and palliative care when appropriate.</w:t>
            </w:r>
          </w:p>
          <w:p w:rsidRPr="00CF3B37" w:rsidP="00DF4712">
            <w:pPr>
              <w:pStyle w:val="Default"/>
              <w:rPr>
                <w:color w:val="auto"/>
              </w:rPr>
            </w:pPr>
            <w:r w:rsidRPr="00CF3B37">
              <w:rPr>
                <w:color w:val="auto"/>
              </w:rPr>
              <w:t>3 Write a treatment plan that includes consideration of patients cultural and religious beliefs, age, ethnicity, socioeconomic status, and co-morbidities.</w:t>
            </w:r>
          </w:p>
          <w:p w:rsidRPr="00CF3B37" w:rsidP="00DF4712">
            <w:pPr>
              <w:pStyle w:val="Default"/>
              <w:rPr>
                <w:color w:val="auto"/>
              </w:rPr>
            </w:pPr>
            <w:r w:rsidRPr="00CF3B37">
              <w:rPr>
                <w:color w:val="auto"/>
              </w:rPr>
              <w:t>4 Recommend patients to suitable clinical trials and research studies.</w:t>
            </w:r>
          </w:p>
        </w:tc>
      </w:tr>
      <w:tr w:rsidTr="00F37DB0">
        <w:tblPrEx>
          <w:tblW w:w="0" w:type="auto"/>
          <w:tblLook w:val="04A0"/>
        </w:tblPrEx>
        <w:tc>
          <w:tcPr>
            <w:tcW w:w="10780" w:type="dxa"/>
            <w:shd w:val="clear" w:color="auto" w:fill="00B1F1"/>
          </w:tcPr>
          <w:p w:rsidR="00CE77BA" w:rsidRPr="00CE77BA" w:rsidP="00AF12F1">
            <w:pPr>
              <w:pStyle w:val="Default"/>
              <w:rPr>
                <w:rFonts w:asciiTheme="minorHAnsi" w:hAnsiTheme="minorHAnsi" w:cstheme="minorHAnsi"/>
                <w:b/>
                <w:bCs/>
                <w:color w:val="FFFFFF" w:themeColor="background1"/>
              </w:rPr>
            </w:pPr>
            <w:r>
              <w:rPr>
                <w:rFonts w:asciiTheme="minorHAnsi" w:hAnsiTheme="minorHAnsi" w:cstheme="minorHAnsi"/>
                <w:b/>
                <w:bCs/>
                <w:color w:val="FFFFFF" w:themeColor="background1"/>
              </w:rPr>
              <w:t>CME Credit</w:t>
            </w:r>
          </w:p>
        </w:tc>
      </w:tr>
      <w:tr w:rsidTr="00F37DB0">
        <w:tblPrEx>
          <w:tblW w:w="0" w:type="auto"/>
          <w:tblLook w:val="04A0"/>
        </w:tblPrEx>
        <w:tc>
          <w:tcPr>
            <w:tcW w:w="10780" w:type="dxa"/>
            <w:shd w:val="clear" w:color="auto" w:fill="auto"/>
          </w:tcPr>
          <w:p w:rsidR="00CE77BA" w:rsidP="00CE77BA">
            <w:pPr>
              <w:rPr>
                <w:rFonts w:cstheme="minorHAnsi"/>
                <w:color w:val="000080"/>
              </w:rPr>
            </w:pPr>
            <w:r w:rsidRPr="008638A8">
              <w:rPr>
                <w:rFonts w:cstheme="minorHAnsi"/>
                <w:color w:val="000080"/>
              </w:rPr>
              <w:fldChar w:fldCharType="begin"/>
            </w:r>
            <w:r w:rsidRPr="008638A8">
              <w:rPr>
                <w:rFonts w:cstheme="minorHAnsi"/>
                <w:color w:val="000080"/>
              </w:rPr>
              <w:instrText xml:space="preserve"> IF </w:instrText>
            </w:r>
            <w:r w:rsidRPr="008638A8">
              <w:rPr>
                <w:rFonts w:cstheme="minorHAnsi"/>
                <w:color w:val="000080"/>
              </w:rPr>
              <w:instrText>"</w:instrText>
            </w:r>
            <w:r w:rsidRPr="008638A8">
              <w:rPr>
                <w:rFonts w:cstheme="minorHAnsi"/>
                <w:color w:val="000080"/>
              </w:rPr>
              <w:instrText>"</w:instrText>
            </w:r>
            <w:r w:rsidRPr="008638A8">
              <w:rPr>
                <w:rFonts w:cstheme="minorHAnsi"/>
                <w:color w:val="000080"/>
              </w:rPr>
              <w:instrText xml:space="preserve">  = ""  "</w:instrText>
            </w:r>
            <w:r>
              <w:rPr>
                <w:rFonts w:cstheme="minorHAnsi"/>
                <w:color w:val="000080"/>
              </w:rPr>
              <w:instrText xml:space="preserve">Providence </w:instrText>
            </w:r>
            <w:r w:rsidRPr="00CE77BA">
              <w:rPr>
                <w:rFonts w:cstheme="minorHAnsi"/>
                <w:color w:val="000080"/>
              </w:rPr>
              <w:instrText>Saint John’s Health Center</w:instrText>
            </w:r>
            <w:r>
              <w:rPr>
                <w:rFonts w:cstheme="minorHAnsi"/>
                <w:color w:val="000080"/>
              </w:rPr>
              <w:instrText xml:space="preserve"> </w:instrText>
            </w:r>
            <w:r w:rsidRPr="00CE77BA">
              <w:rPr>
                <w:rFonts w:cstheme="minorHAnsi"/>
                <w:color w:val="000080"/>
              </w:rPr>
              <w:instrText>is accredited by the California Medical Association (CMA) to provide continuing medical education for physicians.</w:instrText>
            </w:r>
            <w:r w:rsidRPr="008638A8">
              <w:rPr>
                <w:rFonts w:cstheme="minorHAnsi"/>
                <w:color w:val="000080"/>
              </w:rPr>
              <w:instrText xml:space="preserve">" "This activity has been planned and implemented in accordance with the accreditation requirements and policies of the </w:instrText>
            </w:r>
            <w:r w:rsidRPr="00CE77BA">
              <w:rPr>
                <w:rFonts w:cstheme="minorHAnsi"/>
                <w:color w:val="000080"/>
              </w:rPr>
              <w:instrText>California Medical Association (CMA)</w:instrText>
            </w:r>
            <w:r w:rsidRPr="008638A8">
              <w:rPr>
                <w:rFonts w:cstheme="minorHAnsi"/>
                <w:color w:val="000080"/>
              </w:rPr>
              <w:instrText xml:space="preserve"> through the joint providership of the </w:instrText>
            </w:r>
            <w:r>
              <w:rPr>
                <w:rFonts w:cstheme="minorHAnsi"/>
                <w:color w:val="000080"/>
              </w:rPr>
              <w:instrText xml:space="preserve">Providence </w:instrText>
            </w:r>
            <w:r w:rsidRPr="00CE77BA">
              <w:rPr>
                <w:rFonts w:cstheme="minorHAnsi"/>
                <w:color w:val="000080"/>
              </w:rPr>
              <w:instrText>Saint John’s Health Center</w:instrText>
            </w:r>
            <w:r w:rsidRPr="008638A8">
              <w:rPr>
                <w:rFonts w:cstheme="minorHAnsi"/>
                <w:color w:val="000080"/>
              </w:rPr>
              <w:instrText xml:space="preserve"> and </w:instrText>
            </w:r>
            <w:r w:rsidRPr="008638A8">
              <w:rPr>
                <w:rFonts w:cstheme="minorHAnsi"/>
                <w:color w:val="000080"/>
              </w:rPr>
              <w:fldChar w:fldCharType="begin"/>
            </w:r>
            <w:r w:rsidRPr="008638A8">
              <w:rPr>
                <w:rFonts w:cstheme="minorHAnsi"/>
                <w:color w:val="000080"/>
              </w:rPr>
              <w:instrText xml:space="preserve"> MERGEFIELD JointProviderName </w:instrText>
            </w:r>
            <w:r w:rsidRPr="008638A8">
              <w:rPr>
                <w:rFonts w:cstheme="minorHAnsi"/>
                <w:color w:val="000080"/>
              </w:rPr>
              <w:fldChar w:fldCharType="separate"/>
            </w:r>
            <w:r w:rsidR="009E03AD">
              <w:rPr>
                <w:rFonts w:cstheme="minorHAnsi"/>
                <w:noProof/>
                <w:color w:val="000080"/>
              </w:rPr>
              <w:instrText>«JointProviderName»</w:instrText>
            </w:r>
            <w:r w:rsidRPr="008638A8">
              <w:rPr>
                <w:rFonts w:cstheme="minorHAnsi"/>
                <w:color w:val="000080"/>
              </w:rPr>
              <w:fldChar w:fldCharType="end"/>
            </w:r>
            <w:r w:rsidRPr="008638A8">
              <w:rPr>
                <w:rFonts w:cstheme="minorHAnsi"/>
                <w:color w:val="000080"/>
              </w:rPr>
              <w:instrText xml:space="preserve">. </w:instrText>
            </w:r>
            <w:r>
              <w:rPr>
                <w:rFonts w:cstheme="minorHAnsi"/>
                <w:color w:val="000080"/>
              </w:rPr>
              <w:instrText xml:space="preserve">Providence </w:instrText>
            </w:r>
            <w:r w:rsidRPr="00CE77BA">
              <w:rPr>
                <w:rFonts w:cstheme="minorHAnsi"/>
                <w:color w:val="000080"/>
              </w:rPr>
              <w:instrText>Saint John’s Health Center</w:instrText>
            </w:r>
            <w:r>
              <w:rPr>
                <w:rFonts w:cstheme="minorHAnsi"/>
                <w:color w:val="000080"/>
              </w:rPr>
              <w:instrText xml:space="preserve"> </w:instrText>
            </w:r>
            <w:r w:rsidRPr="00CE77BA">
              <w:rPr>
                <w:rFonts w:cstheme="minorHAnsi"/>
                <w:color w:val="000080"/>
              </w:rPr>
              <w:instrText>is accredited by the California Medical Association (CMA) to provide continuing medical education for physicians</w:instrText>
            </w:r>
            <w:r>
              <w:rPr>
                <w:rFonts w:cstheme="minorHAnsi"/>
                <w:color w:val="000080"/>
              </w:rPr>
              <w:instrText>.</w:instrText>
            </w:r>
            <w:r w:rsidRPr="008638A8">
              <w:rPr>
                <w:rFonts w:cstheme="minorHAnsi"/>
                <w:color w:val="000080"/>
              </w:rPr>
              <w:instrText>"</w:instrText>
            </w:r>
            <w:r w:rsidRPr="008638A8">
              <w:rPr>
                <w:rFonts w:cstheme="minorHAnsi"/>
                <w:color w:val="000080"/>
              </w:rPr>
              <w:fldChar w:fldCharType="separate"/>
            </w:r>
            <w:r>
              <w:rPr>
                <w:rFonts w:cstheme="minorHAnsi"/>
                <w:color w:val="000080"/>
              </w:rPr>
              <w:t xml:space="preserve">Providence </w:t>
            </w:r>
            <w:r w:rsidRPr="00CE77BA">
              <w:rPr>
                <w:rFonts w:cstheme="minorHAnsi"/>
                <w:color w:val="000080"/>
              </w:rPr>
              <w:t>Saint John’s Health Center</w:t>
            </w:r>
            <w:r>
              <w:rPr>
                <w:rFonts w:cstheme="minorHAnsi"/>
                <w:color w:val="000080"/>
              </w:rPr>
              <w:t xml:space="preserve"> </w:t>
            </w:r>
            <w:r w:rsidRPr="00CE77BA">
              <w:rPr>
                <w:rFonts w:cstheme="minorHAnsi"/>
                <w:color w:val="000080"/>
              </w:rPr>
              <w:t>is accredited by the California Medical Association (CMA) to provide continuing medical education for physicians.</w:t>
            </w:r>
            <w:r w:rsidRPr="008638A8">
              <w:rPr>
                <w:rFonts w:cstheme="minorHAnsi"/>
                <w:color w:val="000080"/>
              </w:rPr>
              <w:fldChar w:fldCharType="end"/>
            </w:r>
          </w:p>
          <w:p w:rsidR="00960A9B" w:rsidP="005E62EE">
            <w:pPr>
              <w:rPr>
                <w:rFonts w:cstheme="minorHAnsi"/>
              </w:rPr>
            </w:pPr>
          </w:p>
          <w:p w:rsidR="00CF3B37" w:rsidRPr="005E62EE" w:rsidP="00CF3B37">
            <w:pPr>
              <w:rPr>
                <w:rFonts w:cstheme="minorHAnsi"/>
                <w:color w:val="000080"/>
              </w:rPr>
            </w:pPr>
            <w:r>
              <w:rPr>
                <w:rFonts w:cstheme="minorHAnsi"/>
                <w:color w:val="000080"/>
              </w:rPr>
              <w:fldChar w:fldCharType="begin"/>
            </w:r>
            <w:r>
              <w:rPr>
                <w:rFonts w:cstheme="minorHAnsi"/>
                <w:color w:val="000080"/>
              </w:rPr>
              <w:instrText xml:space="preserve"> IF </w:instrText>
            </w:r>
            <w:r>
              <w:rPr>
                <w:rFonts w:cstheme="minorHAnsi"/>
                <w:color w:val="000080"/>
              </w:rPr>
              <w:instrText>1.00</w:instrText>
            </w:r>
            <w:r>
              <w:rPr>
                <w:rFonts w:cstheme="minorHAnsi"/>
                <w:color w:val="000080"/>
              </w:rPr>
              <w:instrText xml:space="preserve"> &gt; 0 "</w:instrText>
            </w:r>
            <w:r w:rsidRPr="005E62EE">
              <w:rPr>
                <w:rFonts w:cstheme="minorHAnsi"/>
                <w:color w:val="000080"/>
              </w:rPr>
              <w:instrText xml:space="preserve">Providence Saint John’s Health Center designates this </w:instrText>
            </w:r>
            <w:r w:rsidRPr="00CF3B37">
              <w:rPr>
                <w:rFonts w:cstheme="minorHAnsi"/>
                <w:color w:val="000080"/>
              </w:rPr>
              <w:fldChar w:fldCharType="begin"/>
            </w:r>
            <w:r w:rsidRPr="00CF3B37">
              <w:rPr>
                <w:rFonts w:cstheme="minorHAnsi"/>
                <w:color w:val="000080"/>
              </w:rPr>
              <w:instrText xml:space="preserve"> IF </w:instrText>
            </w:r>
            <w:r w:rsidRPr="00CF3B37">
              <w:rPr>
                <w:rFonts w:cstheme="minorHAnsi"/>
                <w:color w:val="000080"/>
              </w:rPr>
              <w:instrText>"</w:instrText>
            </w:r>
            <w:r w:rsidRPr="00CF3B37">
              <w:rPr>
                <w:rFonts w:cstheme="minorHAnsi"/>
                <w:color w:val="000080"/>
              </w:rPr>
              <w:instrText>Live Activity</w:instrText>
            </w:r>
            <w:r w:rsidRPr="00CF3B37">
              <w:rPr>
                <w:rFonts w:cstheme="minorHAnsi"/>
                <w:color w:val="000080"/>
              </w:rPr>
              <w:instrText>"</w:instrText>
            </w:r>
            <w:r w:rsidRPr="00CF3B37">
              <w:rPr>
                <w:rFonts w:cstheme="minorHAnsi"/>
                <w:color w:val="000080"/>
              </w:rPr>
              <w:instrText xml:space="preserve"> &lt;&gt; "" "</w:instrText>
            </w:r>
            <w:r w:rsidRPr="00CF3B37">
              <w:rPr>
                <w:rFonts w:cstheme="minorHAnsi"/>
                <w:color w:val="000080"/>
              </w:rPr>
              <w:instrText>Live Activity</w:instrText>
            </w:r>
            <w:r w:rsidRPr="00CF3B37">
              <w:rPr>
                <w:rFonts w:cstheme="minorHAnsi"/>
                <w:color w:val="000080"/>
              </w:rPr>
              <w:instrText xml:space="preserve">" "activity" </w:instrText>
            </w:r>
            <w:r w:rsidRPr="00CF3B37">
              <w:rPr>
                <w:rFonts w:cstheme="minorHAnsi"/>
                <w:color w:val="000080"/>
              </w:rPr>
              <w:fldChar w:fldCharType="separate"/>
            </w:r>
            <w:r w:rsidRPr="00CF3B37">
              <w:rPr>
                <w:rFonts w:cstheme="minorHAnsi"/>
                <w:color w:val="000080"/>
              </w:rPr>
              <w:instrText>Live Activity</w:instrText>
            </w:r>
            <w:r w:rsidRPr="00CF3B37">
              <w:rPr>
                <w:rFonts w:cstheme="minorHAnsi"/>
                <w:color w:val="000080"/>
              </w:rPr>
              <w:fldChar w:fldCharType="end"/>
            </w:r>
            <w:r>
              <w:rPr>
                <w:rFonts w:cstheme="minorHAnsi"/>
                <w:color w:val="000080"/>
              </w:rPr>
              <w:instrText xml:space="preserve"> </w:instrText>
            </w:r>
            <w:r w:rsidRPr="005E62EE">
              <w:rPr>
                <w:rFonts w:cstheme="minorHAnsi"/>
                <w:color w:val="000080"/>
              </w:rPr>
              <w:instrText xml:space="preserve">for a maximum of </w:instrText>
            </w:r>
            <w:r w:rsidRPr="005E62EE">
              <w:rPr>
                <w:rFonts w:cstheme="minorHAnsi"/>
                <w:color w:val="000380"/>
              </w:rPr>
              <w:instrText>1.00</w:instrText>
            </w:r>
            <w:r w:rsidRPr="005E62EE">
              <w:rPr>
                <w:rFonts w:cstheme="minorHAnsi"/>
                <w:color w:val="000080"/>
              </w:rPr>
              <w:instrText xml:space="preserve"> </w:instrText>
            </w:r>
            <w:r w:rsidRPr="005E62EE">
              <w:rPr>
                <w:rFonts w:cstheme="minorHAnsi"/>
                <w:i/>
                <w:iCs/>
                <w:color w:val="000080"/>
              </w:rPr>
              <w:instrText>AMA PRA Category 1 Credit™</w:instrText>
            </w:r>
            <w:r w:rsidRPr="005E62EE">
              <w:rPr>
                <w:rFonts w:cstheme="minorHAnsi"/>
                <w:color w:val="000080"/>
              </w:rPr>
              <w:instrText>. Physicians should claim only the credit commensurate with the extent of their participation in the activity.</w:instrText>
            </w:r>
          </w:p>
          <w:p w:rsidR="005E62EE" w:rsidRPr="00CF3B37" w:rsidP="00CF3B37">
            <w:pPr>
              <w:rPr>
                <w:rFonts w:cstheme="minorHAnsi"/>
                <w:color w:val="000080"/>
              </w:rPr>
            </w:pPr>
            <w:r>
              <w:rPr>
                <w:rFonts w:cstheme="minorHAnsi"/>
                <w:color w:val="000080"/>
              </w:rPr>
              <w:instrText>" ""</w:instrText>
            </w:r>
            <w:r>
              <w:rPr>
                <w:rFonts w:cstheme="minorHAnsi"/>
                <w:color w:val="000080"/>
              </w:rPr>
              <w:instrText xml:space="preserve"> </w:instrText>
            </w:r>
            <w:r>
              <w:rPr>
                <w:rFonts w:cstheme="minorHAnsi"/>
                <w:color w:val="000080"/>
              </w:rPr>
              <w:fldChar w:fldCharType="separate"/>
            </w:r>
            <w:r w:rsidRPr="005E62EE" w:rsidR="00CF3B37">
              <w:rPr>
                <w:rFonts w:cstheme="minorHAnsi"/>
                <w:color w:val="000080"/>
              </w:rPr>
              <w:t xml:space="preserve">Providence Saint John’s Health Center designates this </w:t>
            </w:r>
            <w:r w:rsidRPr="00CF3B37" w:rsidR="00CF3B37">
              <w:rPr>
                <w:rFonts w:cstheme="minorHAnsi"/>
                <w:color w:val="000080"/>
              </w:rPr>
              <w:t>Live Activity</w:t>
            </w:r>
            <w:r w:rsidR="00CF3B37">
              <w:rPr>
                <w:rFonts w:cstheme="minorHAnsi"/>
                <w:color w:val="000080"/>
              </w:rPr>
              <w:t xml:space="preserve"> </w:t>
            </w:r>
            <w:r w:rsidRPr="005E62EE" w:rsidR="00CF3B37">
              <w:rPr>
                <w:rFonts w:cstheme="minorHAnsi"/>
                <w:color w:val="000080"/>
              </w:rPr>
              <w:t xml:space="preserve">for a maximum of </w:t>
            </w:r>
            <w:r w:rsidRPr="005E62EE" w:rsidR="00CF3B37">
              <w:rPr>
                <w:rFonts w:cstheme="minorHAnsi"/>
                <w:color w:val="000380"/>
              </w:rPr>
              <w:t>1.00</w:t>
            </w:r>
            <w:r w:rsidRPr="005E62EE" w:rsidR="00CF3B37">
              <w:rPr>
                <w:rFonts w:cstheme="minorHAnsi"/>
                <w:color w:val="000080"/>
              </w:rPr>
              <w:t xml:space="preserve"> </w:t>
            </w:r>
            <w:r w:rsidRPr="005E62EE" w:rsidR="00CF3B37">
              <w:rPr>
                <w:rFonts w:cstheme="minorHAnsi"/>
                <w:i/>
                <w:iCs/>
                <w:color w:val="000080"/>
              </w:rPr>
              <w:t>AMA PRA Category 1 Credit™</w:t>
            </w:r>
            <w:r w:rsidRPr="005E62EE" w:rsidR="00CF3B37">
              <w:rPr>
                <w:rFonts w:cstheme="minorHAnsi"/>
                <w:color w:val="000080"/>
              </w:rPr>
              <w:t>. Physicians should claim only the credit commensurate with the extent of their participation in the activity.</w:t>
            </w:r>
          </w:p>
          <w:p w:rsidR="005E62EE" w:rsidP="00CF3B37">
            <w:pPr>
              <w:rPr>
                <w:rFonts w:cstheme="minorHAnsi"/>
                <w:color w:val="000080"/>
              </w:rPr>
            </w:pPr>
            <w:r>
              <w:rPr>
                <w:rFonts w:cstheme="minorHAnsi"/>
                <w:color w:val="000080"/>
              </w:rPr>
              <w:fldChar w:fldCharType="end"/>
            </w:r>
          </w:p>
        </w:tc>
      </w:tr>
      <w:tr w:rsidTr="00960A9B">
        <w:tblPrEx>
          <w:tblW w:w="0" w:type="auto"/>
          <w:tblLook w:val="04A0"/>
        </w:tblPrEx>
        <w:tc>
          <w:tcPr>
            <w:tcW w:w="10780" w:type="dxa"/>
            <w:shd w:val="clear" w:color="auto" w:fill="00B0F0"/>
          </w:tcPr>
          <w:p w:rsidR="00960A9B" w:rsidRPr="00960A9B" w:rsidP="00CE77BA">
            <w:pPr>
              <w:rPr>
                <w:rFonts w:cstheme="minorHAnsi"/>
                <w:b/>
                <w:bCs/>
              </w:rPr>
            </w:pPr>
            <w:r w:rsidRPr="00960A9B">
              <w:rPr>
                <w:rFonts w:cstheme="minorHAnsi"/>
                <w:b/>
                <w:bCs/>
                <w:color w:val="FFFFFF" w:themeColor="background1"/>
              </w:rPr>
              <w:t>Commercial</w:t>
            </w:r>
            <w:r>
              <w:rPr>
                <w:rFonts w:cstheme="minorHAnsi"/>
                <w:b/>
                <w:bCs/>
                <w:color w:val="FFFFFF" w:themeColor="background1"/>
              </w:rPr>
              <w:t xml:space="preserve"> and/or Exhibit</w:t>
            </w:r>
            <w:r w:rsidRPr="00960A9B">
              <w:rPr>
                <w:rFonts w:cstheme="minorHAnsi"/>
                <w:b/>
                <w:bCs/>
                <w:color w:val="FFFFFF" w:themeColor="background1"/>
              </w:rPr>
              <w:t xml:space="preserve"> Support</w:t>
            </w:r>
          </w:p>
        </w:tc>
      </w:tr>
      <w:tr w:rsidTr="00960A9B">
        <w:tblPrEx>
          <w:tblW w:w="0" w:type="auto"/>
          <w:tblLook w:val="04A0"/>
        </w:tblPrEx>
        <w:trPr>
          <w:trHeight w:val="763"/>
        </w:trPr>
        <w:tc>
          <w:tcPr>
            <w:tcW w:w="10780" w:type="dxa"/>
            <w:shd w:val="clear" w:color="auto" w:fill="auto"/>
          </w:tcPr>
          <w:p w:rsidR="00960A9B" w:rsidRPr="00305D28" w:rsidP="00CE77BA">
            <w:pPr>
              <w:rPr>
                <w:rFonts w:cstheme="minorHAnsi"/>
                <w:color w:val="FFFFFF" w:themeColor="background1"/>
              </w:rPr>
            </w:pPr>
            <w:r w:rsidRPr="00305D28">
              <w:rPr>
                <w:rFonts w:cstheme="minorHAnsi"/>
                <w:color w:val="002060"/>
              </w:rPr>
              <w:fldChar w:fldCharType="begin"/>
            </w:r>
            <w:r w:rsidRPr="00305D28">
              <w:rPr>
                <w:rFonts w:cstheme="minorHAnsi"/>
                <w:color w:val="002060"/>
              </w:rPr>
              <w:instrText xml:space="preserve"> IF </w:instrText>
            </w:r>
            <w:r w:rsidRPr="00305D28">
              <w:rPr>
                <w:rFonts w:cstheme="minorHAnsi"/>
                <w:color w:val="002060"/>
              </w:rPr>
              <w:instrText>"</w:instrText>
            </w:r>
            <w:r w:rsidRPr="00305D28">
              <w:rPr>
                <w:rFonts w:cstheme="minorHAnsi"/>
                <w:color w:val="002060"/>
              </w:rPr>
              <w:instrText>"</w:instrText>
            </w:r>
            <w:r w:rsidRPr="00305D28">
              <w:rPr>
                <w:rFonts w:cstheme="minorHAnsi"/>
                <w:color w:val="002060"/>
              </w:rPr>
              <w:instrText xml:space="preserve"> &lt;&gt; ""</w:instrText>
            </w:r>
            <w:r w:rsidRPr="00305D28" w:rsidR="006F6C6B">
              <w:rPr>
                <w:rFonts w:cstheme="minorHAnsi"/>
                <w:color w:val="002060"/>
              </w:rPr>
              <w:instrText xml:space="preserve"> "</w:instrText>
            </w:r>
            <w:r w:rsidRPr="00305D28" w:rsidR="006F6C6B">
              <w:rPr>
                <w:rFonts w:cstheme="minorHAnsi"/>
                <w:color w:val="002060"/>
              </w:rPr>
              <w:fldChar w:fldCharType="begin"/>
            </w:r>
            <w:r w:rsidRPr="00305D28" w:rsidR="006F6C6B">
              <w:rPr>
                <w:rFonts w:cstheme="minorHAnsi"/>
                <w:color w:val="002060"/>
              </w:rPr>
              <w:instrText xml:space="preserve"> MERGEFIELD CommercialSupport </w:instrText>
            </w:r>
            <w:r w:rsidRPr="00305D28" w:rsidR="006F6C6B">
              <w:rPr>
                <w:rFonts w:cstheme="minorHAnsi"/>
                <w:color w:val="002060"/>
              </w:rPr>
              <w:fldChar w:fldCharType="separate"/>
            </w:r>
            <w:r w:rsidR="00FA5213">
              <w:rPr>
                <w:rFonts w:cstheme="minorHAnsi"/>
                <w:noProof/>
                <w:color w:val="002060"/>
              </w:rPr>
              <w:instrText>«CommercialSupport»</w:instrText>
            </w:r>
            <w:r w:rsidRPr="00305D28" w:rsidR="006F6C6B">
              <w:rPr>
                <w:rFonts w:cstheme="minorHAnsi"/>
                <w:color w:val="002060"/>
              </w:rPr>
              <w:fldChar w:fldCharType="end"/>
            </w:r>
            <w:r w:rsidRPr="00305D28" w:rsidR="006F6C6B">
              <w:rPr>
                <w:rFonts w:cstheme="minorHAnsi"/>
                <w:color w:val="002060"/>
              </w:rPr>
              <w:instrText xml:space="preserve">" "No Commercial Support" </w:instrText>
            </w:r>
            <w:r w:rsidRPr="00305D28">
              <w:rPr>
                <w:rFonts w:cstheme="minorHAnsi"/>
                <w:color w:val="002060"/>
              </w:rPr>
              <w:fldChar w:fldCharType="separate"/>
            </w:r>
            <w:r w:rsidRPr="00305D28" w:rsidR="006F6C6B">
              <w:rPr>
                <w:rFonts w:cstheme="minorHAnsi"/>
                <w:color w:val="002060"/>
              </w:rPr>
              <w:t>No Commercial Support</w:t>
            </w:r>
            <w:r w:rsidRPr="00305D28">
              <w:rPr>
                <w:rFonts w:cstheme="minorHAnsi"/>
                <w:color w:val="002060"/>
              </w:rPr>
              <w:fldChar w:fldCharType="end"/>
            </w:r>
          </w:p>
        </w:tc>
      </w:tr>
      <w:tr w:rsidTr="00F37DB0">
        <w:tblPrEx>
          <w:tblW w:w="0" w:type="auto"/>
          <w:tblLook w:val="04A0"/>
        </w:tblPrEx>
        <w:tc>
          <w:tcPr>
            <w:tcW w:w="10780" w:type="dxa"/>
            <w:shd w:val="clear" w:color="auto" w:fill="00B1F1"/>
          </w:tcPr>
          <w:p w:rsidR="00CE77BA" w:rsidRPr="00CE77BA" w:rsidP="00CE77BA">
            <w:pPr>
              <w:pStyle w:val="Default"/>
              <w:rPr>
                <w:rFonts w:asciiTheme="minorHAnsi" w:hAnsiTheme="minorHAnsi" w:cstheme="minorHAnsi"/>
                <w:b/>
                <w:bCs/>
                <w:color w:val="FFFFFF" w:themeColor="background1"/>
              </w:rPr>
            </w:pPr>
            <w:r>
              <w:rPr>
                <w:rFonts w:asciiTheme="minorHAnsi" w:hAnsiTheme="minorHAnsi" w:cstheme="minorHAnsi"/>
                <w:b/>
                <w:bCs/>
                <w:color w:val="FFFFFF" w:themeColor="background1"/>
              </w:rPr>
              <w:t>Disclosure Information</w:t>
            </w:r>
          </w:p>
        </w:tc>
      </w:tr>
      <w:tr w:rsidTr="004B3F04">
        <w:tblPrEx>
          <w:tblW w:w="0" w:type="auto"/>
          <w:tblLook w:val="04A0"/>
        </w:tblPrEx>
        <w:tc>
          <w:tcPr>
            <w:tcW w:w="10780" w:type="dxa"/>
            <w:shd w:val="clear" w:color="auto" w:fill="auto"/>
          </w:tcPr>
          <w:p w:rsidR="00692068" w:rsidP="00692068">
            <w:pPr>
              <w:contextualSpacing/>
              <w:rPr>
                <w:rFonts w:cstheme="minorHAnsi"/>
                <w:noProof/>
                <w:color w:val="000080"/>
              </w:rPr>
            </w:pPr>
            <w:r w:rsidRPr="00692068">
              <w:rPr>
                <w:rFonts w:cstheme="minorHAnsi"/>
                <w:noProof/>
                <w:color w:val="000080"/>
              </w:rPr>
              <w:t>Providence S</w:t>
            </w:r>
            <w:r>
              <w:rPr>
                <w:rFonts w:cstheme="minorHAnsi"/>
                <w:noProof/>
                <w:color w:val="000080"/>
              </w:rPr>
              <w:t>aint</w:t>
            </w:r>
            <w:r w:rsidRPr="00692068">
              <w:rPr>
                <w:rFonts w:cstheme="minorHAnsi"/>
                <w:noProof/>
                <w:color w:val="000080"/>
              </w:rPr>
              <w:t xml:space="preserve"> John's Health Center Continuing Medical Education adheres to the ACCME’s Standards for Integrity and Independence in Accredited Continuing Education. Any individuals in a position to control the content of a CE activity, including faculty, planners, reviewers, or others are required to disclose all financial relationships with ineligible entities (commercial interests). All relevant financial relationships have been mitigated prior to the commencement of the activity.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07"/>
              <w:gridCol w:w="3207"/>
              <w:gridCol w:w="427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Eneida Biduli,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Essner, MD, physician and surgeon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Advisor-Intramedical Imaging|Speakers Bureau-Castle Biosciences - 05/19/2025</w:t>
                  </w:r>
                </w:p>
              </w:tc>
            </w:tr>
          </w:tbl>
          <w:p w:rsidR="00CE77BA" w:rsidRPr="00CF3B37">
            <w:pPr>
              <w:bidi w:val="0"/>
              <w:spacing w:after="280" w:afterAutospacing="1"/>
              <w:rPr>
                <w:rFonts w:asciiTheme="minorHAnsi" w:hAnsiTheme="minorHAnsi" w:cstheme="minorHAnsi"/>
                <w:color w:val="000080"/>
              </w:rPr>
            </w:pPr>
          </w:p>
          <w:p w:rsidR="00CE77BA" w:rsidRPr="0066598B" w:rsidP="0066598B">
            <w:pPr>
              <w:pStyle w:val="Default"/>
              <w:jc w:val="center"/>
              <w:rPr>
                <w:rFonts w:asciiTheme="minorHAnsi" w:hAnsiTheme="minorHAnsi" w:cstheme="minorHAnsi"/>
                <w:color w:val="0563C1"/>
                <w:u w:val="single"/>
              </w:rPr>
            </w:pPr>
            <w:r w:rsidRPr="00CE77BA">
              <w:rPr>
                <w:rFonts w:asciiTheme="minorHAnsi" w:hAnsiTheme="minorHAnsi" w:cstheme="minorHAnsi"/>
                <w:b/>
                <w:bCs/>
                <w:color w:val="auto"/>
              </w:rPr>
              <w:t>For questions or concerns email:</w:t>
            </w:r>
            <w:r w:rsidRPr="00CE77BA">
              <w:rPr>
                <w:rFonts w:asciiTheme="minorHAnsi" w:hAnsiTheme="minorHAnsi" w:cstheme="minorHAnsi"/>
                <w:color w:val="auto"/>
              </w:rPr>
              <w:t xml:space="preserve"> </w:t>
            </w:r>
            <w:r>
              <w:fldChar w:fldCharType="begin"/>
            </w:r>
            <w:r>
              <w:instrText xml:space="preserve"> HYPERLINK "mailto:MedicalStaffServices2@providence.org" </w:instrText>
            </w:r>
            <w:r>
              <w:fldChar w:fldCharType="separate"/>
            </w:r>
            <w:r w:rsidRPr="00CE77BA">
              <w:rPr>
                <w:rFonts w:asciiTheme="minorHAnsi" w:hAnsiTheme="minorHAnsi" w:cstheme="minorHAnsi"/>
                <w:color w:val="0563C1"/>
                <w:u w:val="single"/>
              </w:rPr>
              <w:t>MedicalStaffServices2@providence.org</w:t>
            </w:r>
            <w:r>
              <w:fldChar w:fldCharType="end"/>
            </w:r>
          </w:p>
        </w:tc>
      </w:tr>
    </w:tbl>
    <w:p w:rsidR="008638A8" w:rsidRPr="008638A8" w:rsidP="005E62EE">
      <w:pPr>
        <w:ind w:right="90"/>
        <w:rPr>
          <w:rFonts w:cstheme="minorHAnsi"/>
          <w:color w:val="000080"/>
        </w:rPr>
      </w:pPr>
    </w:p>
    <w:sectPr w:rsidSect="00421C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0013F8"/>
    <w:multiLevelType w:val="hybridMultilevel"/>
    <w:tmpl w:val="A2B6A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F635E0E"/>
    <w:multiLevelType w:val="hybridMultilevel"/>
    <w:tmpl w:val="5E345C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5DE7C64"/>
    <w:multiLevelType w:val="hybridMultilevel"/>
    <w:tmpl w:val="4B209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DEA143A"/>
    <w:multiLevelType w:val="hybridMultilevel"/>
    <w:tmpl w:val="5EC407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4"/>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99E"/>
    <w:pPr>
      <w:spacing w:after="160" w:line="252" w:lineRule="auto"/>
      <w:ind w:left="720"/>
      <w:contextualSpacing/>
    </w:pPr>
    <w:rPr>
      <w:rFonts w:ascii="Calibri" w:hAnsi="Calibri" w:cs="Calibri"/>
      <w:sz w:val="22"/>
      <w:szCs w:val="22"/>
    </w:rPr>
  </w:style>
  <w:style w:type="character" w:styleId="CommentReference">
    <w:name w:val="annotation reference"/>
    <w:basedOn w:val="DefaultParagraphFont"/>
    <w:uiPriority w:val="99"/>
    <w:semiHidden/>
    <w:unhideWhenUsed/>
    <w:rsid w:val="0040399E"/>
    <w:rPr>
      <w:sz w:val="16"/>
      <w:szCs w:val="16"/>
    </w:rPr>
  </w:style>
  <w:style w:type="paragraph" w:styleId="CommentText">
    <w:name w:val="annotation text"/>
    <w:basedOn w:val="Normal"/>
    <w:link w:val="CommentTextChar"/>
    <w:uiPriority w:val="99"/>
    <w:semiHidden/>
    <w:unhideWhenUsed/>
    <w:rsid w:val="0040399E"/>
    <w:pPr>
      <w:spacing w:after="160"/>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40399E"/>
    <w:rPr>
      <w:rFonts w:ascii="Calibri" w:hAnsi="Calibri" w:cs="Calibri"/>
      <w:sz w:val="20"/>
      <w:szCs w:val="20"/>
    </w:rPr>
  </w:style>
  <w:style w:type="paragraph" w:customStyle="1" w:styleId="Default">
    <w:name w:val="Default"/>
    <w:basedOn w:val="Normal"/>
    <w:uiPriority w:val="99"/>
    <w:semiHidden/>
    <w:rsid w:val="0040399E"/>
    <w:pPr>
      <w:autoSpaceDE w:val="0"/>
      <w:autoSpaceDN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Bogner, Mark</cp:lastModifiedBy>
  <cp:revision>24</cp:revision>
  <dcterms:created xsi:type="dcterms:W3CDTF">2024-12-06T01:13:00Z</dcterms:created>
  <dcterms:modified xsi:type="dcterms:W3CDTF">2025-02-21T22:07:00Z</dcterms:modified>
</cp:coreProperties>
</file>