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3.6.0.0 -->
  <w:body>
    <w:p w:rsidR="00CE77BA" w:rsidRPr="00421CF3">
      <w:pPr>
        <w:contextualSpacing/>
        <w:rPr>
          <w:sz w:val="20"/>
          <w:szCs w:val="20"/>
        </w:rPr>
      </w:pPr>
      <w:r>
        <w:rPr>
          <w:noProof/>
          <w:sz w:val="20"/>
          <w:szCs w:val="20"/>
        </w:rPr>
        <w:drawing>
          <wp:inline distT="0" distB="0" distL="0" distR="0">
            <wp:extent cx="2463055" cy="1155127"/>
            <wp:effectExtent l="0" t="0" r="1270" b="635"/>
            <wp:docPr id="4" name="Picture 4" descr="A picture containing graphical user interfac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descr="A picture containing graphical user interface&#10;&#10;Description automatically generated"/>
                    <pic:cNvPicPr/>
                  </pic:nvPicPr>
                  <pic:blipFill>
                    <a:blip xmlns:r="http://schemas.openxmlformats.org/officeDocument/2006/relationships" r:embed="rId4" cstate="print">
                      <a:extLst>
                        <a:ext uri="{28A0092B-C50C-407E-A947-70E740481C1C}">
                          <a14:useLocalDpi xmlns:a14="http://schemas.microsoft.com/office/drawing/2010/main" val="0"/>
                        </a:ext>
                      </a:extLst>
                    </a:blip>
                    <a:stretch>
                      <a:fillRect/>
                    </a:stretch>
                  </pic:blipFill>
                  <pic:spPr>
                    <a:xfrm>
                      <a:off x="0" y="0"/>
                      <a:ext cx="2671491" cy="1252880"/>
                    </a:xfrm>
                    <a:prstGeom prst="rect">
                      <a:avLst/>
                    </a:prstGeom>
                  </pic:spPr>
                </pic:pic>
              </a:graphicData>
            </a:graphic>
          </wp:inline>
        </w:drawing>
      </w:r>
      <w:r>
        <w:rPr>
          <w:sz w:val="20"/>
          <w:szCs w:val="20"/>
        </w:rPr>
        <w:t xml:space="preserve">        </w:t>
      </w:r>
      <w:r w:rsidR="00960A9B">
        <w:rPr>
          <w:noProof/>
          <w:sz w:val="20"/>
          <w:szCs w:val="20"/>
        </w:rPr>
        <w:drawing>
          <wp:inline distT="0" distB="0" distL="0" distR="0">
            <wp:extent cx="1476375" cy="1476375"/>
            <wp:effectExtent l="0" t="0" r="9525" b="9525"/>
            <wp:docPr id="176714960" name="Picture 1" descr="A logo for a medical edu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714960" name="Picture 1" descr="A logo for a medical education&#10;&#10;Description automatically generated"/>
                    <pic:cNvPicPr/>
                  </pic:nvPicPr>
                  <pic:blipFill>
                    <a:blip xmlns:r="http://schemas.openxmlformats.org/officeDocument/2006/relationships" r:embed="rId5" cstate="print">
                      <a:extLst>
                        <a:ext uri="{28A0092B-C50C-407E-A947-70E740481C1C}">
                          <a14:useLocalDpi xmlns:a14="http://schemas.microsoft.com/office/drawing/2010/main" val="0"/>
                        </a:ext>
                      </a:extLst>
                    </a:blip>
                    <a:stretch>
                      <a:fillRect/>
                    </a:stretch>
                  </pic:blipFill>
                  <pic:spPr>
                    <a:xfrm>
                      <a:off x="0" y="0"/>
                      <a:ext cx="1476704" cy="1476704"/>
                    </a:xfrm>
                    <a:prstGeom prst="rect">
                      <a:avLst/>
                    </a:prstGeom>
                  </pic:spPr>
                </pic:pic>
              </a:graphicData>
            </a:graphic>
          </wp:inline>
        </w:drawing>
      </w:r>
    </w:p>
    <w:p w:rsidR="00CE77BA" w:rsidRPr="00421CF3">
      <w:pPr>
        <w:contextualSpacing/>
        <w:rPr>
          <w:sz w:val="20"/>
          <w:szCs w:val="20"/>
        </w:rPr>
      </w:pPr>
    </w:p>
    <w:p w:rsidR="001F33CA" w:rsidRPr="001F33CA" w:rsidP="00542E4B">
      <w:pPr>
        <w:rPr>
          <w:rFonts w:cstheme="minorHAnsi"/>
          <w:w w:val="110"/>
        </w:rPr>
      </w:pPr>
    </w:p>
    <w:p w:rsidR="00CE77BA" w:rsidRPr="00CF3B37">
      <w:pPr>
        <w:rPr>
          <w:rFonts w:cstheme="minorHAnsi"/>
        </w:rPr>
      </w:pPr>
      <w:r w:rsidRPr="001F33CA">
        <w:rPr>
          <w:rFonts w:cstheme="minorHAnsi"/>
          <w:b/>
          <w:bCs/>
        </w:rPr>
        <w:t>Date:</w:t>
      </w:r>
      <w:r w:rsidRPr="00CF3B37">
        <w:rPr>
          <w:rFonts w:cstheme="minorHAnsi"/>
        </w:rPr>
        <w:t xml:space="preserve"> </w:t>
      </w:r>
      <w:r w:rsidRPr="00CF3B37" w:rsidR="00DF4712">
        <w:t>Friday 30 May 2025</w:t>
      </w:r>
    </w:p>
    <w:p w:rsidR="00CE77BA" w:rsidRPr="00CF3B37">
      <w:pPr>
        <w:rPr>
          <w:rFonts w:cstheme="minorHAnsi"/>
        </w:rPr>
      </w:pPr>
      <w:r w:rsidRPr="001F33CA">
        <w:rPr>
          <w:rFonts w:cstheme="minorHAnsi"/>
          <w:b/>
          <w:bCs/>
        </w:rPr>
        <w:t>Time:</w:t>
      </w:r>
      <w:r w:rsidRPr="001F33CA" w:rsidR="00DF4712">
        <w:rPr>
          <w:rFonts w:cstheme="minorHAnsi"/>
          <w:b/>
          <w:bCs/>
        </w:rPr>
        <w:t xml:space="preserve"> </w:t>
      </w:r>
      <w:r w:rsidRPr="00CF3B37" w:rsidR="00DF4712">
        <w:t>02:00 PM</w:t>
      </w:r>
      <w:r w:rsidRPr="00CF3B37">
        <w:rPr>
          <w:rFonts w:cstheme="minorHAnsi"/>
        </w:rPr>
        <w:fldChar w:fldCharType="begin"/>
      </w:r>
      <w:r w:rsidRPr="00CF3B37">
        <w:rPr>
          <w:rFonts w:cstheme="minorHAnsi"/>
        </w:rPr>
        <w:instrText xml:space="preserve"> IF </w:instrText>
      </w:r>
      <w:r w:rsidR="009D4529">
        <w:rPr>
          <w:rFonts w:cstheme="minorHAnsi"/>
        </w:rPr>
        <w:instrText>"</w:instrText>
      </w:r>
      <w:r w:rsidR="009D4529">
        <w:rPr>
          <w:rFonts w:cstheme="minorHAnsi"/>
        </w:rPr>
        <w:instrText>"</w:instrText>
      </w:r>
      <w:r w:rsidR="009D4529">
        <w:rPr>
          <w:rFonts w:cstheme="minorHAnsi"/>
        </w:rPr>
        <w:instrText xml:space="preserve"> </w:instrText>
      </w:r>
      <w:r w:rsidRPr="00CF3B37">
        <w:rPr>
          <w:rFonts w:cstheme="minorHAnsi"/>
        </w:rPr>
        <w:instrText>&lt;&gt; "" "</w:instrText>
      </w:r>
    </w:p>
    <w:p w:rsidR="00CE77BA" w:rsidRPr="00CF3B37">
      <w:pPr>
        <w:rPr>
          <w:rFonts w:cstheme="minorHAnsi"/>
        </w:rPr>
      </w:pPr>
    </w:p>
    <w:p w:rsidR="009E03AD" w:rsidRPr="00CF3B37">
      <w:pPr>
        <w:rPr>
          <w:rFonts w:cstheme="minorHAnsi"/>
          <w:noProof/>
        </w:rPr>
      </w:pPr>
      <w:r w:rsidRPr="00CF3B37">
        <w:rPr>
          <w:rFonts w:cstheme="minorHAnsi"/>
          <w:b/>
          <w:bCs/>
        </w:rPr>
        <w:instrText>Target Audience:</w:instrText>
      </w:r>
      <w:r w:rsidR="009D4529">
        <w:rPr>
          <w:rFonts w:cstheme="minorHAnsi"/>
        </w:rPr>
        <w:instrText xml:space="preserve"> </w:instrText>
      </w:r>
      <w:r w:rsidR="009D4529">
        <w:rPr>
          <w:rFonts w:cstheme="minorHAnsi"/>
        </w:rPr>
        <w:fldChar w:fldCharType="begin"/>
      </w:r>
      <w:r w:rsidR="009D4529">
        <w:rPr>
          <w:rFonts w:cstheme="minorHAnsi"/>
        </w:rPr>
        <w:instrText xml:space="preserve"> MERGEFIELD </w:instrText>
      </w:r>
      <w:r w:rsidRPr="00461241" w:rsidR="00461241">
        <w:rPr>
          <w:rFonts w:cstheme="minorHAnsi"/>
          <w:color w:val="242424"/>
          <w:shd w:val="clear" w:color="auto" w:fill="FFFFFF"/>
        </w:rPr>
        <w:instrText>Specialties</w:instrText>
      </w:r>
      <w:r w:rsidRPr="00461241" w:rsidR="009D4529">
        <w:rPr>
          <w:rFonts w:cstheme="minorHAnsi"/>
        </w:rPr>
        <w:instrText xml:space="preserve"> </w:instrText>
      </w:r>
      <w:r w:rsidR="009D4529">
        <w:rPr>
          <w:rFonts w:cstheme="minorHAnsi"/>
        </w:rPr>
        <w:fldChar w:fldCharType="separate"/>
      </w:r>
      <w:r>
        <w:rPr>
          <w:rFonts w:cstheme="minorHAnsi"/>
          <w:noProof/>
        </w:rPr>
        <w:instrText>«Specialties»</w:instrText>
      </w:r>
      <w:r w:rsidR="009D4529">
        <w:rPr>
          <w:rFonts w:cstheme="minorHAnsi"/>
        </w:rPr>
        <w:fldChar w:fldCharType="end"/>
      </w:r>
      <w:r w:rsidRPr="00CF3B37">
        <w:rPr>
          <w:rFonts w:cstheme="minorHAnsi"/>
        </w:rPr>
        <w:instrText>"</w:instrText>
      </w:r>
      <w:r w:rsidR="009D4529">
        <w:rPr>
          <w:rFonts w:cstheme="minorHAnsi"/>
        </w:rPr>
        <w:instrText xml:space="preserve"> ""</w:instrText>
      </w:r>
      <w:r w:rsidRPr="00CF3B37">
        <w:rPr>
          <w:rFonts w:cstheme="minorHAnsi"/>
        </w:rPr>
        <w:instrText xml:space="preserve"> </w:instrText>
      </w:r>
      <w:r w:rsidRPr="00CF3B37">
        <w:rPr>
          <w:rFonts w:cstheme="minorHAnsi"/>
        </w:rPr>
        <w:fldChar w:fldCharType="separate"/>
      </w:r>
      <w:r w:rsidRPr="00CF3B37" w:rsidR="00CE77BA">
        <w:rPr>
          <w:rFonts w:cstheme="minorHAnsi"/>
        </w:rPr>
        <w:fldChar w:fldCharType="end"/>
      </w:r>
      <w:r w:rsidRPr="00CF3B37" w:rsidR="00DF4712">
        <w:rPr>
          <w:noProof/>
        </w:rPr>
        <w:t xml:space="preserve"> </w:t>
      </w:r>
    </w:p>
    <w:p w:rsidR="00CE77BA" w:rsidRPr="00CF3B37">
      <w:pPr>
        <w:rPr>
          <w:rFonts w:cstheme="minorHAnsi"/>
        </w:rPr>
      </w:pPr>
    </w:p>
    <w:p w:rsidR="00CE77BA" w:rsidRPr="00CF3B37">
      <w:pPr>
        <w:rPr>
          <w:rFonts w:cstheme="minorHAnsi"/>
        </w:rPr>
      </w:pPr>
      <w:r w:rsidRPr="00CF3B37">
        <w:rPr>
          <w:rFonts w:cstheme="minorHAnsi"/>
          <w:b/>
          <w:bCs/>
        </w:rPr>
        <w:t>Topic:</w:t>
      </w:r>
      <w:r w:rsidRPr="00CF3B37">
        <w:rPr>
          <w:rFonts w:cstheme="minorHAnsi"/>
        </w:rPr>
        <w:t xml:space="preserve"> </w:t>
      </w:r>
      <w:r w:rsidRPr="00CF3B37" w:rsidR="00DF4712">
        <w:t>“</w:t>
      </w:r>
      <w:r>
        <w:t>Primary Care Medical Group Management</w:t>
      </w:r>
      <w:r w:rsidRPr="00CF3B37" w:rsidR="00DF4712">
        <w:t>”</w:t>
      </w:r>
    </w:p>
    <w:p w:rsidR="00CE77BA" w:rsidRPr="00CE77BA">
      <w:pPr>
        <w:rPr>
          <w:rFonts w:cstheme="minorHAnsi"/>
        </w:rPr>
      </w:pPr>
    </w:p>
    <w:tbl>
      <w:tblPr>
        <w:tblStyle w:val="TableGrid"/>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
      <w:tblGrid>
        <w:gridCol w:w="10780"/>
      </w:tblGrid>
      <w:tr w:rsidTr="00DC7118">
        <w:tblPrEx>
          <w:tblW w:w="0" w:type="auto"/>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4A0"/>
        </w:tblPrEx>
        <w:tc>
          <w:tcPr>
            <w:tcW w:w="10780" w:type="dxa"/>
            <w:shd w:val="clear" w:color="auto" w:fill="00B1F1"/>
          </w:tcPr>
          <w:p w:rsidR="00CE77BA" w:rsidRPr="00CE77BA" w:rsidP="00DC7118">
            <w:pPr>
              <w:rPr>
                <w:rFonts w:cstheme="minorHAnsi"/>
                <w:color w:val="FFFFFF" w:themeColor="background1"/>
              </w:rPr>
            </w:pPr>
            <w:r w:rsidRPr="00CE77BA">
              <w:rPr>
                <w:rFonts w:cstheme="minorHAnsi"/>
                <w:b/>
                <w:bCs/>
                <w:color w:val="FFFFFF" w:themeColor="background1"/>
              </w:rPr>
              <w:t>Describe this activity</w:t>
            </w:r>
            <w:r w:rsidRPr="00CE77BA">
              <w:rPr>
                <w:rFonts w:cstheme="minorHAnsi"/>
                <w:color w:val="FFFFFF" w:themeColor="background1"/>
              </w:rPr>
              <w:t xml:space="preserve"> </w:t>
            </w:r>
          </w:p>
        </w:tc>
      </w:tr>
      <w:tr w:rsidTr="00A7204A">
        <w:tblPrEx>
          <w:tblW w:w="0" w:type="auto"/>
          <w:tblLook w:val="04A0"/>
        </w:tblPrEx>
        <w:tc>
          <w:tcPr>
            <w:tcW w:w="10780" w:type="dxa"/>
          </w:tcPr>
          <w:p w:rsidR="00CE77BA" w:rsidRPr="00CE77BA" w:rsidP="005C50C3">
            <w:pPr>
              <w:rPr>
                <w:rFonts w:cstheme="minorHAnsi"/>
              </w:rPr>
            </w:pPr>
          </w:p>
        </w:tc>
      </w:tr>
      <w:tr w:rsidTr="0040399E">
        <w:tblPrEx>
          <w:tblW w:w="0" w:type="auto"/>
          <w:tblLook w:val="04A0"/>
        </w:tblPrEx>
        <w:tc>
          <w:tcPr>
            <w:tcW w:w="10780" w:type="dxa"/>
            <w:shd w:val="clear" w:color="auto" w:fill="00B1F1"/>
          </w:tcPr>
          <w:p w:rsidR="00CE77BA" w:rsidRPr="00CE77BA" w:rsidP="0040399E">
            <w:pPr>
              <w:rPr>
                <w:rFonts w:cstheme="minorHAnsi"/>
                <w:b/>
                <w:bCs/>
                <w:color w:val="FFFFFF"/>
              </w:rPr>
            </w:pPr>
            <w:r>
              <w:rPr>
                <w:rFonts w:cstheme="minorHAnsi"/>
                <w:b/>
                <w:bCs/>
                <w:color w:val="FFFFFF"/>
              </w:rPr>
              <w:t>Learning Outcomes</w:t>
            </w:r>
          </w:p>
        </w:tc>
      </w:tr>
      <w:tr w:rsidTr="003F04F8">
        <w:tblPrEx>
          <w:tblW w:w="0" w:type="auto"/>
          <w:tblLook w:val="04A0"/>
        </w:tblPrEx>
        <w:tc>
          <w:tcPr>
            <w:tcW w:w="10780" w:type="dxa"/>
            <w:shd w:val="clear" w:color="auto" w:fill="auto"/>
          </w:tcPr>
          <w:p w:rsidR="00CE77BA" w:rsidRPr="00CE77BA" w:rsidP="00DF4712">
            <w:pPr>
              <w:pStyle w:val="Default"/>
              <w:rPr>
                <w:rFonts w:asciiTheme="minorHAnsi" w:hAnsiTheme="minorHAnsi" w:cstheme="minorHAnsi"/>
                <w:color w:val="auto"/>
              </w:rPr>
            </w:pPr>
          </w:p>
        </w:tc>
      </w:tr>
      <w:tr w:rsidTr="00F37DB0">
        <w:tblPrEx>
          <w:tblW w:w="0" w:type="auto"/>
          <w:tblLook w:val="04A0"/>
        </w:tblPrEx>
        <w:tc>
          <w:tcPr>
            <w:tcW w:w="10780" w:type="dxa"/>
            <w:shd w:val="clear" w:color="auto" w:fill="00B1F1"/>
          </w:tcPr>
          <w:p w:rsidR="00CE77BA" w:rsidRPr="00CE77BA" w:rsidP="00AF12F1">
            <w:pPr>
              <w:pStyle w:val="Default"/>
              <w:rPr>
                <w:rFonts w:asciiTheme="minorHAnsi" w:hAnsiTheme="minorHAnsi" w:cstheme="minorHAnsi"/>
                <w:b/>
                <w:bCs/>
                <w:color w:val="FFFFFF" w:themeColor="background1"/>
              </w:rPr>
            </w:pPr>
            <w:r>
              <w:rPr>
                <w:rFonts w:asciiTheme="minorHAnsi" w:hAnsiTheme="minorHAnsi" w:cstheme="minorHAnsi"/>
                <w:b/>
                <w:bCs/>
                <w:color w:val="FFFFFF" w:themeColor="background1"/>
              </w:rPr>
              <w:t>CME Credit</w:t>
            </w:r>
          </w:p>
        </w:tc>
      </w:tr>
      <w:tr w:rsidTr="00F37DB0">
        <w:tblPrEx>
          <w:tblW w:w="0" w:type="auto"/>
          <w:tblLook w:val="04A0"/>
        </w:tblPrEx>
        <w:tc>
          <w:tcPr>
            <w:tcW w:w="10780" w:type="dxa"/>
            <w:shd w:val="clear" w:color="auto" w:fill="auto"/>
          </w:tcPr>
          <w:p w:rsidR="00CE77BA" w:rsidP="00CE77BA">
            <w:pPr>
              <w:rPr>
                <w:rFonts w:cstheme="minorHAnsi"/>
                <w:color w:val="000080"/>
              </w:rPr>
            </w:pPr>
            <w:r w:rsidRPr="008638A8">
              <w:rPr>
                <w:rFonts w:cstheme="minorHAnsi"/>
                <w:color w:val="000080"/>
              </w:rPr>
              <w:fldChar w:fldCharType="begin"/>
            </w:r>
            <w:r w:rsidRPr="008638A8">
              <w:rPr>
                <w:rFonts w:cstheme="minorHAnsi"/>
                <w:color w:val="000080"/>
              </w:rPr>
              <w:instrText xml:space="preserve"> IF </w:instrText>
            </w:r>
            <w:r w:rsidRPr="008638A8">
              <w:rPr>
                <w:rFonts w:cstheme="minorHAnsi"/>
                <w:color w:val="000080"/>
              </w:rPr>
              <w:instrText>"</w:instrText>
            </w:r>
            <w:r w:rsidRPr="008638A8">
              <w:rPr>
                <w:rFonts w:cstheme="minorHAnsi"/>
                <w:color w:val="000080"/>
              </w:rPr>
              <w:instrText>"</w:instrText>
            </w:r>
            <w:r w:rsidRPr="008638A8">
              <w:rPr>
                <w:rFonts w:cstheme="minorHAnsi"/>
                <w:color w:val="000080"/>
              </w:rPr>
              <w:instrText xml:space="preserve">  = ""  "</w:instrText>
            </w:r>
            <w:r>
              <w:rPr>
                <w:rFonts w:cstheme="minorHAnsi"/>
                <w:color w:val="000080"/>
              </w:rPr>
              <w:instrText xml:space="preserve">Providence </w:instrText>
            </w:r>
            <w:r w:rsidRPr="00CE77BA">
              <w:rPr>
                <w:rFonts w:cstheme="minorHAnsi"/>
                <w:color w:val="000080"/>
              </w:rPr>
              <w:instrText>Saint John’s Health Center</w:instrText>
            </w:r>
            <w:r>
              <w:rPr>
                <w:rFonts w:cstheme="minorHAnsi"/>
                <w:color w:val="000080"/>
              </w:rPr>
              <w:instrText xml:space="preserve"> </w:instrText>
            </w:r>
            <w:r w:rsidRPr="00CE77BA">
              <w:rPr>
                <w:rFonts w:cstheme="minorHAnsi"/>
                <w:color w:val="000080"/>
              </w:rPr>
              <w:instrText>is accredited by the California Medical Association (CMA) to provide continuing medical education for physicians.</w:instrText>
            </w:r>
            <w:r w:rsidRPr="008638A8">
              <w:rPr>
                <w:rFonts w:cstheme="minorHAnsi"/>
                <w:color w:val="000080"/>
              </w:rPr>
              <w:instrText xml:space="preserve">" "This activity has been planned and implemented in accordance with the accreditation requirements and policies of the </w:instrText>
            </w:r>
            <w:r w:rsidRPr="00CE77BA">
              <w:rPr>
                <w:rFonts w:cstheme="minorHAnsi"/>
                <w:color w:val="000080"/>
              </w:rPr>
              <w:instrText>California Medical Association (CMA)</w:instrText>
            </w:r>
            <w:r w:rsidRPr="008638A8">
              <w:rPr>
                <w:rFonts w:cstheme="minorHAnsi"/>
                <w:color w:val="000080"/>
              </w:rPr>
              <w:instrText xml:space="preserve"> through the joint providership of the </w:instrText>
            </w:r>
            <w:r>
              <w:rPr>
                <w:rFonts w:cstheme="minorHAnsi"/>
                <w:color w:val="000080"/>
              </w:rPr>
              <w:instrText xml:space="preserve">Providence </w:instrText>
            </w:r>
            <w:r w:rsidRPr="00CE77BA">
              <w:rPr>
                <w:rFonts w:cstheme="minorHAnsi"/>
                <w:color w:val="000080"/>
              </w:rPr>
              <w:instrText>Saint John’s Health Center</w:instrText>
            </w:r>
            <w:r w:rsidRPr="008638A8">
              <w:rPr>
                <w:rFonts w:cstheme="minorHAnsi"/>
                <w:color w:val="000080"/>
              </w:rPr>
              <w:instrText xml:space="preserve"> and </w:instrText>
            </w:r>
            <w:r w:rsidRPr="008638A8">
              <w:rPr>
                <w:rFonts w:cstheme="minorHAnsi"/>
                <w:color w:val="000080"/>
              </w:rPr>
              <w:fldChar w:fldCharType="begin"/>
            </w:r>
            <w:r w:rsidRPr="008638A8">
              <w:rPr>
                <w:rFonts w:cstheme="minorHAnsi"/>
                <w:color w:val="000080"/>
              </w:rPr>
              <w:instrText xml:space="preserve"> MERGEFIELD JointProviderName </w:instrText>
            </w:r>
            <w:r w:rsidRPr="008638A8">
              <w:rPr>
                <w:rFonts w:cstheme="minorHAnsi"/>
                <w:color w:val="000080"/>
              </w:rPr>
              <w:fldChar w:fldCharType="separate"/>
            </w:r>
            <w:r w:rsidR="009E03AD">
              <w:rPr>
                <w:rFonts w:cstheme="minorHAnsi"/>
                <w:noProof/>
                <w:color w:val="000080"/>
              </w:rPr>
              <w:instrText>«JointProviderName»</w:instrText>
            </w:r>
            <w:r w:rsidRPr="008638A8">
              <w:rPr>
                <w:rFonts w:cstheme="minorHAnsi"/>
                <w:color w:val="000080"/>
              </w:rPr>
              <w:fldChar w:fldCharType="end"/>
            </w:r>
            <w:r w:rsidRPr="008638A8">
              <w:rPr>
                <w:rFonts w:cstheme="minorHAnsi"/>
                <w:color w:val="000080"/>
              </w:rPr>
              <w:instrText xml:space="preserve">. </w:instrText>
            </w:r>
            <w:r>
              <w:rPr>
                <w:rFonts w:cstheme="minorHAnsi"/>
                <w:color w:val="000080"/>
              </w:rPr>
              <w:instrText xml:space="preserve">Providence </w:instrText>
            </w:r>
            <w:r w:rsidRPr="00CE77BA">
              <w:rPr>
                <w:rFonts w:cstheme="minorHAnsi"/>
                <w:color w:val="000080"/>
              </w:rPr>
              <w:instrText>Saint John’s Health Center</w:instrText>
            </w:r>
            <w:r>
              <w:rPr>
                <w:rFonts w:cstheme="minorHAnsi"/>
                <w:color w:val="000080"/>
              </w:rPr>
              <w:instrText xml:space="preserve"> </w:instrText>
            </w:r>
            <w:r w:rsidRPr="00CE77BA">
              <w:rPr>
                <w:rFonts w:cstheme="minorHAnsi"/>
                <w:color w:val="000080"/>
              </w:rPr>
              <w:instrText>is accredited by the California Medical Association (CMA) to provide continuing medical education for physicians</w:instrText>
            </w:r>
            <w:r>
              <w:rPr>
                <w:rFonts w:cstheme="minorHAnsi"/>
                <w:color w:val="000080"/>
              </w:rPr>
              <w:instrText>.</w:instrText>
            </w:r>
            <w:r w:rsidRPr="008638A8">
              <w:rPr>
                <w:rFonts w:cstheme="minorHAnsi"/>
                <w:color w:val="000080"/>
              </w:rPr>
              <w:instrText>"</w:instrText>
            </w:r>
            <w:r w:rsidRPr="008638A8">
              <w:rPr>
                <w:rFonts w:cstheme="minorHAnsi"/>
                <w:color w:val="000080"/>
              </w:rPr>
              <w:fldChar w:fldCharType="separate"/>
            </w:r>
            <w:r>
              <w:rPr>
                <w:rFonts w:cstheme="minorHAnsi"/>
                <w:color w:val="000080"/>
              </w:rPr>
              <w:t xml:space="preserve">Providence </w:t>
            </w:r>
            <w:r w:rsidRPr="00CE77BA">
              <w:rPr>
                <w:rFonts w:cstheme="minorHAnsi"/>
                <w:color w:val="000080"/>
              </w:rPr>
              <w:t>Saint John’s Health Center</w:t>
            </w:r>
            <w:r>
              <w:rPr>
                <w:rFonts w:cstheme="minorHAnsi"/>
                <w:color w:val="000080"/>
              </w:rPr>
              <w:t xml:space="preserve"> </w:t>
            </w:r>
            <w:r w:rsidRPr="00CE77BA">
              <w:rPr>
                <w:rFonts w:cstheme="minorHAnsi"/>
                <w:color w:val="000080"/>
              </w:rPr>
              <w:t>is accredited by the California Medical Association (CMA) to provide continuing medical education for physicians.</w:t>
            </w:r>
            <w:r w:rsidRPr="008638A8">
              <w:rPr>
                <w:rFonts w:cstheme="minorHAnsi"/>
                <w:color w:val="000080"/>
              </w:rPr>
              <w:fldChar w:fldCharType="end"/>
            </w:r>
          </w:p>
          <w:p w:rsidR="00960A9B" w:rsidP="005E62EE">
            <w:pPr>
              <w:rPr>
                <w:rFonts w:cstheme="minorHAnsi"/>
              </w:rPr>
            </w:pPr>
          </w:p>
          <w:p w:rsidR="00CF3B37" w:rsidRPr="005E62EE" w:rsidP="00CF3B37">
            <w:pPr>
              <w:rPr>
                <w:rFonts w:cstheme="minorHAnsi"/>
                <w:color w:val="000080"/>
              </w:rPr>
            </w:pPr>
            <w:r>
              <w:rPr>
                <w:rFonts w:cstheme="minorHAnsi"/>
                <w:color w:val="000080"/>
              </w:rPr>
              <w:fldChar w:fldCharType="begin"/>
            </w:r>
            <w:r>
              <w:rPr>
                <w:rFonts w:cstheme="minorHAnsi"/>
                <w:color w:val="000080"/>
              </w:rPr>
              <w:instrText xml:space="preserve"> IF </w:instrText>
            </w:r>
            <w:r>
              <w:rPr>
                <w:rFonts w:cstheme="minorHAnsi"/>
                <w:color w:val="000080"/>
              </w:rPr>
              <w:instrText>1.00</w:instrText>
            </w:r>
            <w:r>
              <w:rPr>
                <w:rFonts w:cstheme="minorHAnsi"/>
                <w:color w:val="000080"/>
              </w:rPr>
              <w:instrText xml:space="preserve"> &gt; 0 "</w:instrText>
            </w:r>
            <w:r w:rsidRPr="005E62EE">
              <w:rPr>
                <w:rFonts w:cstheme="minorHAnsi"/>
                <w:color w:val="000080"/>
              </w:rPr>
              <w:instrText xml:space="preserve">Providence Saint John’s Health Center designates this </w:instrText>
            </w:r>
            <w:r w:rsidRPr="00CF3B37">
              <w:rPr>
                <w:rFonts w:cstheme="minorHAnsi"/>
                <w:color w:val="000080"/>
              </w:rPr>
              <w:fldChar w:fldCharType="begin"/>
            </w:r>
            <w:r w:rsidRPr="00CF3B37">
              <w:rPr>
                <w:rFonts w:cstheme="minorHAnsi"/>
                <w:color w:val="000080"/>
              </w:rPr>
              <w:instrText xml:space="preserve"> IF </w:instrText>
            </w:r>
            <w:r w:rsidRPr="00CF3B37">
              <w:rPr>
                <w:rFonts w:cstheme="minorHAnsi"/>
                <w:color w:val="000080"/>
              </w:rPr>
              <w:instrText>"</w:instrText>
            </w:r>
            <w:r w:rsidRPr="00CF3B37">
              <w:rPr>
                <w:rFonts w:cstheme="minorHAnsi"/>
                <w:color w:val="000080"/>
              </w:rPr>
              <w:instrText>"</w:instrText>
            </w:r>
            <w:r w:rsidRPr="00CF3B37">
              <w:rPr>
                <w:rFonts w:cstheme="minorHAnsi"/>
                <w:color w:val="000080"/>
              </w:rPr>
              <w:instrText xml:space="preserve"> &lt;&gt; "" "</w:instrText>
            </w:r>
            <w:r w:rsidRPr="00CF3B37">
              <w:rPr>
                <w:rFonts w:cstheme="minorHAnsi"/>
                <w:color w:val="000080"/>
              </w:rPr>
              <w:fldChar w:fldCharType="begin"/>
            </w:r>
            <w:r w:rsidRPr="00CF3B37">
              <w:rPr>
                <w:rFonts w:cstheme="minorHAnsi"/>
                <w:color w:val="000080"/>
              </w:rPr>
              <w:instrText xml:space="preserve"> MERGEFIELD ActivityFormat </w:instrText>
            </w:r>
            <w:r w:rsidRPr="00CF3B37">
              <w:rPr>
                <w:rFonts w:cstheme="minorHAnsi"/>
                <w:color w:val="000080"/>
              </w:rPr>
              <w:fldChar w:fldCharType="separate"/>
            </w:r>
            <w:r w:rsidRPr="00CF3B37">
              <w:rPr>
                <w:rFonts w:cstheme="minorHAnsi"/>
                <w:color w:val="000080"/>
              </w:rPr>
              <w:instrText>«ActivityFormat»</w:instrText>
            </w:r>
            <w:r w:rsidRPr="00CF3B37">
              <w:rPr>
                <w:rFonts w:cstheme="minorHAnsi"/>
                <w:color w:val="000080"/>
              </w:rPr>
              <w:fldChar w:fldCharType="end"/>
            </w:r>
            <w:r w:rsidRPr="00CF3B37">
              <w:rPr>
                <w:rFonts w:cstheme="minorHAnsi"/>
                <w:color w:val="000080"/>
              </w:rPr>
              <w:instrText xml:space="preserve">" "activity" </w:instrText>
            </w:r>
            <w:r w:rsidRPr="00CF3B37">
              <w:rPr>
                <w:rFonts w:cstheme="minorHAnsi"/>
                <w:color w:val="000080"/>
              </w:rPr>
              <w:fldChar w:fldCharType="separate"/>
            </w:r>
            <w:r w:rsidRPr="00CF3B37">
              <w:rPr>
                <w:rFonts w:cstheme="minorHAnsi"/>
                <w:color w:val="000080"/>
              </w:rPr>
              <w:instrText>activity</w:instrText>
            </w:r>
            <w:r w:rsidRPr="00CF3B37">
              <w:rPr>
                <w:rFonts w:cstheme="minorHAnsi"/>
                <w:color w:val="000080"/>
              </w:rPr>
              <w:fldChar w:fldCharType="end"/>
            </w:r>
            <w:r>
              <w:rPr>
                <w:rFonts w:cstheme="minorHAnsi"/>
                <w:color w:val="000080"/>
              </w:rPr>
              <w:instrText xml:space="preserve"> </w:instrText>
            </w:r>
            <w:r w:rsidRPr="005E62EE">
              <w:rPr>
                <w:rFonts w:cstheme="minorHAnsi"/>
                <w:color w:val="000080"/>
              </w:rPr>
              <w:instrText xml:space="preserve">for a maximum of </w:instrText>
            </w:r>
            <w:r w:rsidRPr="005E62EE">
              <w:rPr>
                <w:rFonts w:cstheme="minorHAnsi"/>
                <w:color w:val="000380"/>
              </w:rPr>
              <w:instrText>1.00</w:instrText>
            </w:r>
            <w:r w:rsidRPr="005E62EE">
              <w:rPr>
                <w:rFonts w:cstheme="minorHAnsi"/>
                <w:color w:val="000080"/>
              </w:rPr>
              <w:instrText xml:space="preserve"> </w:instrText>
            </w:r>
            <w:r w:rsidRPr="005E62EE">
              <w:rPr>
                <w:rFonts w:cstheme="minorHAnsi"/>
                <w:i/>
                <w:iCs/>
                <w:color w:val="000080"/>
              </w:rPr>
              <w:instrText>AMA PRA Category 1 Credit™</w:instrText>
            </w:r>
            <w:r w:rsidRPr="005E62EE">
              <w:rPr>
                <w:rFonts w:cstheme="minorHAnsi"/>
                <w:color w:val="000080"/>
              </w:rPr>
              <w:instrText>. Physicians should claim only the credit commensurate with the extent of their participation in the activity.</w:instrText>
            </w:r>
          </w:p>
          <w:p w:rsidR="005E62EE" w:rsidRPr="00CF3B37" w:rsidP="00CF3B37">
            <w:pPr>
              <w:rPr>
                <w:rFonts w:cstheme="minorHAnsi"/>
                <w:color w:val="000080"/>
              </w:rPr>
            </w:pPr>
            <w:r>
              <w:rPr>
                <w:rFonts w:cstheme="minorHAnsi"/>
                <w:color w:val="000080"/>
              </w:rPr>
              <w:instrText>" ""</w:instrText>
            </w:r>
            <w:r>
              <w:rPr>
                <w:rFonts w:cstheme="minorHAnsi"/>
                <w:color w:val="000080"/>
              </w:rPr>
              <w:instrText xml:space="preserve"> </w:instrText>
            </w:r>
            <w:r>
              <w:rPr>
                <w:rFonts w:cstheme="minorHAnsi"/>
                <w:color w:val="000080"/>
              </w:rPr>
              <w:fldChar w:fldCharType="separate"/>
            </w:r>
            <w:r w:rsidRPr="005E62EE" w:rsidR="00CF3B37">
              <w:rPr>
                <w:rFonts w:cstheme="minorHAnsi"/>
                <w:color w:val="000080"/>
              </w:rPr>
              <w:t xml:space="preserve">Providence Saint John’s Health Center designates this </w:t>
            </w:r>
            <w:r w:rsidRPr="00CF3B37" w:rsidR="00CF3B37">
              <w:rPr>
                <w:rFonts w:cstheme="minorHAnsi"/>
                <w:color w:val="000080"/>
              </w:rPr>
              <w:t>activity</w:t>
            </w:r>
            <w:r w:rsidR="00CF3B37">
              <w:rPr>
                <w:rFonts w:cstheme="minorHAnsi"/>
                <w:color w:val="000080"/>
              </w:rPr>
              <w:t xml:space="preserve"> </w:t>
            </w:r>
            <w:r w:rsidRPr="005E62EE" w:rsidR="00CF3B37">
              <w:rPr>
                <w:rFonts w:cstheme="minorHAnsi"/>
                <w:color w:val="000080"/>
              </w:rPr>
              <w:t xml:space="preserve">for a maximum of </w:t>
            </w:r>
            <w:r w:rsidRPr="005E62EE" w:rsidR="00CF3B37">
              <w:rPr>
                <w:rFonts w:cstheme="minorHAnsi"/>
                <w:color w:val="000380"/>
              </w:rPr>
              <w:t>1.00</w:t>
            </w:r>
            <w:r w:rsidRPr="005E62EE" w:rsidR="00CF3B37">
              <w:rPr>
                <w:rFonts w:cstheme="minorHAnsi"/>
                <w:color w:val="000080"/>
              </w:rPr>
              <w:t xml:space="preserve"> </w:t>
            </w:r>
            <w:r w:rsidRPr="005E62EE" w:rsidR="00CF3B37">
              <w:rPr>
                <w:rFonts w:cstheme="minorHAnsi"/>
                <w:i/>
                <w:iCs/>
                <w:color w:val="000080"/>
              </w:rPr>
              <w:t>AMA PRA Category 1 Credit™</w:t>
            </w:r>
            <w:r w:rsidRPr="005E62EE" w:rsidR="00CF3B37">
              <w:rPr>
                <w:rFonts w:cstheme="minorHAnsi"/>
                <w:color w:val="000080"/>
              </w:rPr>
              <w:t>. Physicians should claim only the credit commensurate with the extent of their participation in the activity.</w:t>
            </w:r>
          </w:p>
          <w:p w:rsidR="005E62EE" w:rsidP="00CF3B37">
            <w:pPr>
              <w:rPr>
                <w:rFonts w:cstheme="minorHAnsi"/>
                <w:color w:val="000080"/>
              </w:rPr>
            </w:pPr>
            <w:r>
              <w:rPr>
                <w:rFonts w:cstheme="minorHAnsi"/>
                <w:color w:val="000080"/>
              </w:rPr>
              <w:fldChar w:fldCharType="end"/>
            </w:r>
          </w:p>
        </w:tc>
      </w:tr>
      <w:tr w:rsidTr="00960A9B">
        <w:tblPrEx>
          <w:tblW w:w="0" w:type="auto"/>
          <w:tblLook w:val="04A0"/>
        </w:tblPrEx>
        <w:tc>
          <w:tcPr>
            <w:tcW w:w="10780" w:type="dxa"/>
            <w:shd w:val="clear" w:color="auto" w:fill="00B0F0"/>
          </w:tcPr>
          <w:p w:rsidR="00960A9B" w:rsidRPr="00960A9B" w:rsidP="00CE77BA">
            <w:pPr>
              <w:rPr>
                <w:rFonts w:cstheme="minorHAnsi"/>
                <w:b/>
                <w:bCs/>
              </w:rPr>
            </w:pPr>
            <w:r w:rsidRPr="00960A9B">
              <w:rPr>
                <w:rFonts w:cstheme="minorHAnsi"/>
                <w:b/>
                <w:bCs/>
                <w:color w:val="FFFFFF" w:themeColor="background1"/>
              </w:rPr>
              <w:t>Commercial</w:t>
            </w:r>
            <w:r>
              <w:rPr>
                <w:rFonts w:cstheme="minorHAnsi"/>
                <w:b/>
                <w:bCs/>
                <w:color w:val="FFFFFF" w:themeColor="background1"/>
              </w:rPr>
              <w:t xml:space="preserve"> and/or Exhibit</w:t>
            </w:r>
            <w:r w:rsidRPr="00960A9B">
              <w:rPr>
                <w:rFonts w:cstheme="minorHAnsi"/>
                <w:b/>
                <w:bCs/>
                <w:color w:val="FFFFFF" w:themeColor="background1"/>
              </w:rPr>
              <w:t xml:space="preserve"> Support</w:t>
            </w:r>
          </w:p>
        </w:tc>
      </w:tr>
      <w:tr w:rsidTr="00960A9B">
        <w:tblPrEx>
          <w:tblW w:w="0" w:type="auto"/>
          <w:tblLook w:val="04A0"/>
        </w:tblPrEx>
        <w:trPr>
          <w:trHeight w:val="763"/>
        </w:trPr>
        <w:tc>
          <w:tcPr>
            <w:tcW w:w="10780" w:type="dxa"/>
            <w:shd w:val="clear" w:color="auto" w:fill="auto"/>
          </w:tcPr>
          <w:p w:rsidR="00960A9B" w:rsidRPr="00305D28" w:rsidP="00CE77BA">
            <w:pPr>
              <w:rPr>
                <w:rFonts w:cstheme="minorHAnsi"/>
                <w:color w:val="FFFFFF" w:themeColor="background1"/>
              </w:rPr>
            </w:pPr>
            <w:r w:rsidRPr="00305D28">
              <w:rPr>
                <w:rFonts w:cstheme="minorHAnsi"/>
                <w:color w:val="002060"/>
              </w:rPr>
              <w:fldChar w:fldCharType="begin"/>
            </w:r>
            <w:r w:rsidRPr="00305D28">
              <w:rPr>
                <w:rFonts w:cstheme="minorHAnsi"/>
                <w:color w:val="002060"/>
              </w:rPr>
              <w:instrText xml:space="preserve"> IF </w:instrText>
            </w:r>
            <w:r w:rsidRPr="00305D28">
              <w:rPr>
                <w:rFonts w:cstheme="minorHAnsi"/>
                <w:color w:val="002060"/>
              </w:rPr>
              <w:instrText>"</w:instrText>
            </w:r>
            <w:r w:rsidRPr="00305D28">
              <w:rPr>
                <w:rFonts w:cstheme="minorHAnsi"/>
                <w:color w:val="002060"/>
              </w:rPr>
              <w:instrText>"</w:instrText>
            </w:r>
            <w:r w:rsidRPr="00305D28">
              <w:rPr>
                <w:rFonts w:cstheme="minorHAnsi"/>
                <w:color w:val="002060"/>
              </w:rPr>
              <w:instrText xml:space="preserve"> &lt;&gt; ""</w:instrText>
            </w:r>
            <w:r w:rsidRPr="00305D28" w:rsidR="006F6C6B">
              <w:rPr>
                <w:rFonts w:cstheme="minorHAnsi"/>
                <w:color w:val="002060"/>
              </w:rPr>
              <w:instrText xml:space="preserve"> "</w:instrText>
            </w:r>
            <w:r w:rsidRPr="00305D28" w:rsidR="006F6C6B">
              <w:rPr>
                <w:rFonts w:cstheme="minorHAnsi"/>
                <w:color w:val="002060"/>
              </w:rPr>
              <w:fldChar w:fldCharType="begin"/>
            </w:r>
            <w:r w:rsidRPr="00305D28" w:rsidR="006F6C6B">
              <w:rPr>
                <w:rFonts w:cstheme="minorHAnsi"/>
                <w:color w:val="002060"/>
              </w:rPr>
              <w:instrText xml:space="preserve"> MERGEFIELD CommercialSupport </w:instrText>
            </w:r>
            <w:r w:rsidRPr="00305D28" w:rsidR="006F6C6B">
              <w:rPr>
                <w:rFonts w:cstheme="minorHAnsi"/>
                <w:color w:val="002060"/>
              </w:rPr>
              <w:fldChar w:fldCharType="separate"/>
            </w:r>
            <w:r w:rsidR="00FA5213">
              <w:rPr>
                <w:rFonts w:cstheme="minorHAnsi"/>
                <w:noProof/>
                <w:color w:val="002060"/>
              </w:rPr>
              <w:instrText>«CommercialSupport»</w:instrText>
            </w:r>
            <w:r w:rsidRPr="00305D28" w:rsidR="006F6C6B">
              <w:rPr>
                <w:rFonts w:cstheme="minorHAnsi"/>
                <w:color w:val="002060"/>
              </w:rPr>
              <w:fldChar w:fldCharType="end"/>
            </w:r>
            <w:r w:rsidRPr="00305D28" w:rsidR="006F6C6B">
              <w:rPr>
                <w:rFonts w:cstheme="minorHAnsi"/>
                <w:color w:val="002060"/>
              </w:rPr>
              <w:instrText xml:space="preserve">" "No Commercial Support" </w:instrText>
            </w:r>
            <w:r w:rsidRPr="00305D28">
              <w:rPr>
                <w:rFonts w:cstheme="minorHAnsi"/>
                <w:color w:val="002060"/>
              </w:rPr>
              <w:fldChar w:fldCharType="separate"/>
            </w:r>
            <w:r w:rsidRPr="00305D28" w:rsidR="006F6C6B">
              <w:rPr>
                <w:rFonts w:cstheme="minorHAnsi"/>
                <w:color w:val="002060"/>
              </w:rPr>
              <w:t>No Commercial Support</w:t>
            </w:r>
            <w:r w:rsidRPr="00305D28">
              <w:rPr>
                <w:rFonts w:cstheme="minorHAnsi"/>
                <w:color w:val="002060"/>
              </w:rPr>
              <w:fldChar w:fldCharType="end"/>
            </w:r>
          </w:p>
        </w:tc>
      </w:tr>
      <w:tr w:rsidTr="00F37DB0">
        <w:tblPrEx>
          <w:tblW w:w="0" w:type="auto"/>
          <w:tblLook w:val="04A0"/>
        </w:tblPrEx>
        <w:tc>
          <w:tcPr>
            <w:tcW w:w="10780" w:type="dxa"/>
            <w:shd w:val="clear" w:color="auto" w:fill="00B1F1"/>
          </w:tcPr>
          <w:p w:rsidR="00CE77BA" w:rsidRPr="00CE77BA" w:rsidP="00CE77BA">
            <w:pPr>
              <w:pStyle w:val="Default"/>
              <w:rPr>
                <w:rFonts w:asciiTheme="minorHAnsi" w:hAnsiTheme="minorHAnsi" w:cstheme="minorHAnsi"/>
                <w:b/>
                <w:bCs/>
                <w:color w:val="FFFFFF" w:themeColor="background1"/>
              </w:rPr>
            </w:pPr>
            <w:r>
              <w:rPr>
                <w:rFonts w:asciiTheme="minorHAnsi" w:hAnsiTheme="minorHAnsi" w:cstheme="minorHAnsi"/>
                <w:b/>
                <w:bCs/>
                <w:color w:val="FFFFFF" w:themeColor="background1"/>
              </w:rPr>
              <w:t>Disclosure Information</w:t>
            </w:r>
          </w:p>
        </w:tc>
      </w:tr>
      <w:tr w:rsidTr="004B3F04">
        <w:tblPrEx>
          <w:tblW w:w="0" w:type="auto"/>
          <w:tblLook w:val="04A0"/>
        </w:tblPrEx>
        <w:tc>
          <w:tcPr>
            <w:tcW w:w="10780" w:type="dxa"/>
            <w:shd w:val="clear" w:color="auto" w:fill="auto"/>
          </w:tcPr>
          <w:p w:rsidR="00692068" w:rsidP="00692068">
            <w:pPr>
              <w:contextualSpacing/>
              <w:rPr>
                <w:rFonts w:cstheme="minorHAnsi"/>
                <w:noProof/>
                <w:color w:val="000080"/>
              </w:rPr>
            </w:pPr>
            <w:r w:rsidRPr="00692068">
              <w:rPr>
                <w:rFonts w:cstheme="minorHAnsi"/>
                <w:noProof/>
                <w:color w:val="000080"/>
              </w:rPr>
              <w:t>Providence S</w:t>
            </w:r>
            <w:r>
              <w:rPr>
                <w:rFonts w:cstheme="minorHAnsi"/>
                <w:noProof/>
                <w:color w:val="000080"/>
              </w:rPr>
              <w:t>aint</w:t>
            </w:r>
            <w:r w:rsidRPr="00692068">
              <w:rPr>
                <w:rFonts w:cstheme="minorHAnsi"/>
                <w:noProof/>
                <w:color w:val="000080"/>
              </w:rPr>
              <w:t xml:space="preserve"> John's Health Center Continuing Medical Education adheres to the ACCME’s Standards for Integrity and Independence in Accredited Continuing Education. Any individuals in a position to control the content of a CE activity, including faculty, planners, reviewers, or others are required to disclose all financial relationships with ineligible entities (commercial interests). All relevant financial relationships have been mitigated prior to the commencement of the activity.</w:t>
            </w:r>
          </w:p>
          <w:tbl>
            <w:tblPr>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
            <w:tblGrid>
              <w:gridCol w:w="3207"/>
              <w:gridCol w:w="3207"/>
              <w:gridCol w:w="4276"/>
            </w:tblGrid>
            <w:tr>
              <w:tblPrEx>
                <w:tblW w:w="5000" w:type="pct"/>
                <w:jc w:val="left"/>
                <w:tblCellSpacing w:w="15" w:type="dxa"/>
                <w:tblInd w:w="0" w:type="dxa"/>
                <w:tblBorders>
                  <w:top w:val="outset" w:sz="6" w:space="0" w:color="auto"/>
                  <w:left w:val="outset" w:sz="6" w:space="0" w:color="auto"/>
                  <w:bottom w:val="outset" w:sz="6" w:space="0" w:color="auto"/>
                  <w:right w:val="outset" w:sz="6" w:space="0" w:color="auto"/>
                </w:tblBorders>
                <w:tblCellMar>
                  <w:top w:w="15" w:type="dxa"/>
                  <w:left w:w="15" w:type="dxa"/>
                  <w:bottom w:w="15" w:type="dxa"/>
                  <w:right w:w="15" w:type="dxa"/>
                </w:tblCellMar>
              </w:tblPrEx>
              <w:trPr>
                <w:tblCellSpacing w:w="15" w:type="dxa"/>
                <w:jc w:val="left"/>
              </w:trPr>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Name of individual</w:t>
                  </w:r>
                </w:p>
              </w:tc>
              <w:tc>
                <w:tcPr>
                  <w:tcW w:w="15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Individual's role in activity</w:t>
                  </w:r>
                </w:p>
              </w:tc>
              <w:tc>
                <w:tcPr>
                  <w:tcW w:w="2000" w:type="pct"/>
                  <w:tcBorders>
                    <w:top w:val="outset" w:sz="6" w:space="0" w:color="auto"/>
                    <w:left w:val="outset" w:sz="6" w:space="0" w:color="auto"/>
                    <w:bottom w:val="outset" w:sz="6" w:space="0" w:color="auto"/>
                    <w:right w:val="outset" w:sz="6" w:space="0" w:color="auto"/>
                  </w:tcBorders>
                  <w:shd w:val="clear" w:color="auto" w:fill="F5F5F5"/>
                  <w:vAlign w:val="center"/>
                </w:tcPr>
                <w:p>
                  <w:pPr>
                    <w:bidi w:val="0"/>
                    <w:spacing w:after="0" w:afterAutospacing="0"/>
                    <w:jc w:val="center"/>
                    <w:rPr>
                      <w:rtl w:val="0"/>
                    </w:rPr>
                  </w:pPr>
                  <w:r>
                    <w:rPr>
                      <w:b/>
                      <w:rtl w:val="0"/>
                    </w:rPr>
                    <w:t>Nature of Relationship(s) / Name of Ineligible Company(s)</w:t>
                  </w:r>
                </w:p>
              </w:tc>
            </w:tr>
          </w:tbl>
          <w:p w:rsidR="00CE77BA" w:rsidRPr="00CF3B37">
            <w:pPr>
              <w:bidi w:val="0"/>
              <w:spacing w:after="280" w:afterAutospacing="1"/>
              <w:rPr>
                <w:rFonts w:asciiTheme="minorHAnsi" w:hAnsiTheme="minorHAnsi" w:cstheme="minorHAnsi"/>
                <w:color w:val="000080"/>
              </w:rPr>
            </w:pPr>
          </w:p>
          <w:p w:rsidR="00CE77BA" w:rsidRPr="0066598B" w:rsidP="0066598B">
            <w:pPr>
              <w:pStyle w:val="Default"/>
              <w:jc w:val="center"/>
              <w:rPr>
                <w:rFonts w:asciiTheme="minorHAnsi" w:hAnsiTheme="minorHAnsi" w:cstheme="minorHAnsi"/>
                <w:color w:val="0563C1"/>
                <w:u w:val="single"/>
              </w:rPr>
            </w:pPr>
            <w:r w:rsidRPr="00CE77BA">
              <w:rPr>
                <w:rFonts w:asciiTheme="minorHAnsi" w:hAnsiTheme="minorHAnsi" w:cstheme="minorHAnsi"/>
                <w:b/>
                <w:bCs/>
                <w:color w:val="auto"/>
              </w:rPr>
              <w:t>For questions or concerns email:</w:t>
            </w:r>
            <w:r w:rsidRPr="00CE77BA">
              <w:rPr>
                <w:rFonts w:asciiTheme="minorHAnsi" w:hAnsiTheme="minorHAnsi" w:cstheme="minorHAnsi"/>
                <w:color w:val="auto"/>
              </w:rPr>
              <w:t xml:space="preserve"> </w:t>
            </w:r>
            <w:r>
              <w:fldChar w:fldCharType="begin"/>
            </w:r>
            <w:r>
              <w:instrText xml:space="preserve"> HYPERLINK "mailto:MedicalStaffServices2@providence.org" </w:instrText>
            </w:r>
            <w:r>
              <w:fldChar w:fldCharType="separate"/>
            </w:r>
            <w:r w:rsidRPr="00CE77BA">
              <w:rPr>
                <w:rFonts w:asciiTheme="minorHAnsi" w:hAnsiTheme="minorHAnsi" w:cstheme="minorHAnsi"/>
                <w:color w:val="0563C1"/>
                <w:u w:val="single"/>
              </w:rPr>
              <w:t>MedicalStaffServices2@providence.org</w:t>
            </w:r>
            <w:r>
              <w:fldChar w:fldCharType="end"/>
            </w:r>
          </w:p>
        </w:tc>
      </w:tr>
    </w:tbl>
    <w:p w:rsidR="008638A8" w:rsidRPr="008638A8" w:rsidP="005E62EE">
      <w:pPr>
        <w:ind w:right="90"/>
        <w:rPr>
          <w:rFonts w:cstheme="minorHAnsi"/>
          <w:color w:val="000080"/>
        </w:rPr>
      </w:pPr>
    </w:p>
    <w:sectPr w:rsidSect="00421CF3">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Malgun Gothic">
    <w:altName w:val="맑은 고딕"/>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abstractNum w:abstractNumId="0">
    <w:nsid w:val="1B0013F8"/>
    <w:multiLevelType w:val="hybridMultilevel"/>
    <w:tmpl w:val="A2B6A574"/>
    <w:lvl w:ilvl="0">
      <w:start w:val="1"/>
      <w:numFmt w:val="bullet"/>
      <w:lvlText w:val=""/>
      <w:lvlJc w:val="left"/>
      <w:pPr>
        <w:ind w:left="720" w:hanging="360"/>
      </w:pPr>
      <w:rPr>
        <w:rFonts w:ascii="Symbol" w:hAnsi="Symbol" w:hint="default"/>
      </w:rPr>
    </w:lvl>
    <w:lvl w:ilvl="1" w:tentative="1">
      <w:start w:val="1"/>
      <w:numFmt w:val="bullet"/>
      <w:lvlText w:val="o"/>
      <w:lvlJc w:val="left"/>
      <w:pPr>
        <w:ind w:left="1440" w:hanging="360"/>
      </w:pPr>
      <w:rPr>
        <w:rFonts w:ascii="Courier New" w:hAnsi="Courier New" w:cs="Courier New" w:hint="default"/>
      </w:rPr>
    </w:lvl>
    <w:lvl w:ilvl="2" w:tentative="1">
      <w:start w:val="1"/>
      <w:numFmt w:val="bullet"/>
      <w:lvlText w:val=""/>
      <w:lvlJc w:val="left"/>
      <w:pPr>
        <w:ind w:left="2160" w:hanging="360"/>
      </w:pPr>
      <w:rPr>
        <w:rFonts w:ascii="Wingdings" w:hAnsi="Wingdings" w:hint="default"/>
      </w:rPr>
    </w:lvl>
    <w:lvl w:ilvl="3" w:tentative="1">
      <w:start w:val="1"/>
      <w:numFmt w:val="bullet"/>
      <w:lvlText w:val=""/>
      <w:lvlJc w:val="left"/>
      <w:pPr>
        <w:ind w:left="2880" w:hanging="360"/>
      </w:pPr>
      <w:rPr>
        <w:rFonts w:ascii="Symbol" w:hAnsi="Symbol" w:hint="default"/>
      </w:rPr>
    </w:lvl>
    <w:lvl w:ilvl="4" w:tentative="1">
      <w:start w:val="1"/>
      <w:numFmt w:val="bullet"/>
      <w:lvlText w:val="o"/>
      <w:lvlJc w:val="left"/>
      <w:pPr>
        <w:ind w:left="3600" w:hanging="360"/>
      </w:pPr>
      <w:rPr>
        <w:rFonts w:ascii="Courier New" w:hAnsi="Courier New" w:cs="Courier New" w:hint="default"/>
      </w:rPr>
    </w:lvl>
    <w:lvl w:ilvl="5" w:tentative="1">
      <w:start w:val="1"/>
      <w:numFmt w:val="bullet"/>
      <w:lvlText w:val=""/>
      <w:lvlJc w:val="left"/>
      <w:pPr>
        <w:ind w:left="4320" w:hanging="360"/>
      </w:pPr>
      <w:rPr>
        <w:rFonts w:ascii="Wingdings" w:hAnsi="Wingdings" w:hint="default"/>
      </w:rPr>
    </w:lvl>
    <w:lvl w:ilvl="6" w:tentative="1">
      <w:start w:val="1"/>
      <w:numFmt w:val="bullet"/>
      <w:lvlText w:val=""/>
      <w:lvlJc w:val="left"/>
      <w:pPr>
        <w:ind w:left="5040" w:hanging="360"/>
      </w:pPr>
      <w:rPr>
        <w:rFonts w:ascii="Symbol" w:hAnsi="Symbol" w:hint="default"/>
      </w:rPr>
    </w:lvl>
    <w:lvl w:ilvl="7" w:tentative="1">
      <w:start w:val="1"/>
      <w:numFmt w:val="bullet"/>
      <w:lvlText w:val="o"/>
      <w:lvlJc w:val="left"/>
      <w:pPr>
        <w:ind w:left="5760" w:hanging="360"/>
      </w:pPr>
      <w:rPr>
        <w:rFonts w:ascii="Courier New" w:hAnsi="Courier New" w:cs="Courier New" w:hint="default"/>
      </w:rPr>
    </w:lvl>
    <w:lvl w:ilvl="8" w:tentative="1">
      <w:start w:val="1"/>
      <w:numFmt w:val="bullet"/>
      <w:lvlText w:val=""/>
      <w:lvlJc w:val="left"/>
      <w:pPr>
        <w:ind w:left="6480" w:hanging="360"/>
      </w:pPr>
      <w:rPr>
        <w:rFonts w:ascii="Wingdings" w:hAnsi="Wingdings" w:hint="default"/>
      </w:rPr>
    </w:lvl>
  </w:abstractNum>
  <w:abstractNum w:abstractNumId="1">
    <w:nsid w:val="4F635E0E"/>
    <w:multiLevelType w:val="hybridMultilevel"/>
    <w:tmpl w:val="5E345C34"/>
    <w:lvl w:ilvl="0">
      <w:start w:val="1"/>
      <w:numFmt w:val="decimal"/>
      <w:lvlText w:val="%1."/>
      <w:lvlJc w:val="left"/>
      <w:pPr>
        <w:ind w:left="720" w:hanging="360"/>
      </w:pPr>
      <w:rPr>
        <w:rFonts w:hint="default"/>
      </w:r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abstractNum w:abstractNumId="2">
    <w:nsid w:val="55DE7C64"/>
    <w:multiLevelType w:val="hybridMultilevel"/>
    <w:tmpl w:val="4B2092FC"/>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3">
    <w:nsid w:val="5DEA143A"/>
    <w:multiLevelType w:val="hybridMultilevel"/>
    <w:tmpl w:val="5EC4073A"/>
    <w:lvl w:ilvl="0">
      <w:start w:val="1"/>
      <w:numFmt w:val="decimal"/>
      <w:lvlText w:val="%1."/>
      <w:lvlJc w:val="left"/>
      <w:pPr>
        <w:ind w:left="720" w:hanging="360"/>
      </w:pPr>
    </w:lvl>
    <w:lvl w:ilvl="1" w:tentative="1">
      <w:start w:val="1"/>
      <w:numFmt w:val="lowerLetter"/>
      <w:lvlText w:val="%2."/>
      <w:lvlJc w:val="left"/>
      <w:pPr>
        <w:ind w:left="1440" w:hanging="360"/>
      </w:pPr>
    </w:lvl>
    <w:lvl w:ilvl="2" w:tentative="1">
      <w:start w:val="1"/>
      <w:numFmt w:val="lowerRoman"/>
      <w:lvlText w:val="%3."/>
      <w:lvlJc w:val="right"/>
      <w:pPr>
        <w:ind w:left="2160" w:hanging="180"/>
      </w:pPr>
    </w:lvl>
    <w:lvl w:ilvl="3" w:tentative="1">
      <w:start w:val="1"/>
      <w:numFmt w:val="decimal"/>
      <w:lvlText w:val="%4."/>
      <w:lvlJc w:val="left"/>
      <w:pPr>
        <w:ind w:left="2880" w:hanging="360"/>
      </w:pPr>
    </w:lvl>
    <w:lvl w:ilvl="4" w:tentative="1">
      <w:start w:val="1"/>
      <w:numFmt w:val="lowerLetter"/>
      <w:lvlText w:val="%5."/>
      <w:lvlJc w:val="left"/>
      <w:pPr>
        <w:ind w:left="3600" w:hanging="360"/>
      </w:pPr>
    </w:lvl>
    <w:lvl w:ilvl="5" w:tentative="1">
      <w:start w:val="1"/>
      <w:numFmt w:val="lowerRoman"/>
      <w:lvlText w:val="%6."/>
      <w:lvlJc w:val="right"/>
      <w:pPr>
        <w:ind w:left="4320" w:hanging="180"/>
      </w:pPr>
    </w:lvl>
    <w:lvl w:ilvl="6" w:tentative="1">
      <w:start w:val="1"/>
      <w:numFmt w:val="decimal"/>
      <w:lvlText w:val="%7."/>
      <w:lvlJc w:val="left"/>
      <w:pPr>
        <w:ind w:left="5040" w:hanging="360"/>
      </w:pPr>
    </w:lvl>
    <w:lvl w:ilvl="7" w:tentative="1">
      <w:start w:val="1"/>
      <w:numFmt w:val="lowerLetter"/>
      <w:lvlText w:val="%8."/>
      <w:lvlJc w:val="left"/>
      <w:pPr>
        <w:ind w:left="5760" w:hanging="360"/>
      </w:pPr>
    </w:lvl>
    <w:lvl w:ilvl="8" w:tentative="1">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2"/>
  </w:num>
  <w:num w:numId="3">
    <w:abstractNumId w:val="3"/>
  </w:num>
  <w:num w:numId="4">
    <w:abstractNumId w:val="0"/>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14"/>
  <w:doNotTrackMoves/>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m:mathPr>
    <m:mathFont m:val="Cambria Math"/>
  </m:mathPr>
  <w:themeFontLang w:val="en-US" w:eastAsia="ko-K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611E9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40399E"/>
    <w:pPr>
      <w:spacing w:after="160" w:line="252" w:lineRule="auto"/>
      <w:ind w:left="720"/>
      <w:contextualSpacing/>
    </w:pPr>
    <w:rPr>
      <w:rFonts w:ascii="Calibri" w:hAnsi="Calibri" w:cs="Calibri"/>
      <w:sz w:val="22"/>
      <w:szCs w:val="22"/>
    </w:rPr>
  </w:style>
  <w:style w:type="character" w:styleId="CommentReference">
    <w:name w:val="annotation reference"/>
    <w:basedOn w:val="DefaultParagraphFont"/>
    <w:uiPriority w:val="99"/>
    <w:semiHidden/>
    <w:unhideWhenUsed/>
    <w:rsid w:val="0040399E"/>
    <w:rPr>
      <w:sz w:val="16"/>
      <w:szCs w:val="16"/>
    </w:rPr>
  </w:style>
  <w:style w:type="paragraph" w:styleId="CommentText">
    <w:name w:val="annotation text"/>
    <w:basedOn w:val="Normal"/>
    <w:link w:val="CommentTextChar"/>
    <w:uiPriority w:val="99"/>
    <w:semiHidden/>
    <w:unhideWhenUsed/>
    <w:rsid w:val="0040399E"/>
    <w:pPr>
      <w:spacing w:after="160"/>
    </w:pPr>
    <w:rPr>
      <w:rFonts w:ascii="Calibri" w:hAnsi="Calibri" w:cs="Calibri"/>
      <w:sz w:val="20"/>
      <w:szCs w:val="20"/>
    </w:rPr>
  </w:style>
  <w:style w:type="character" w:customStyle="1" w:styleId="CommentTextChar">
    <w:name w:val="Comment Text Char"/>
    <w:basedOn w:val="DefaultParagraphFont"/>
    <w:link w:val="CommentText"/>
    <w:uiPriority w:val="99"/>
    <w:semiHidden/>
    <w:rsid w:val="0040399E"/>
    <w:rPr>
      <w:rFonts w:ascii="Calibri" w:hAnsi="Calibri" w:cs="Calibri"/>
      <w:sz w:val="20"/>
      <w:szCs w:val="20"/>
    </w:rPr>
  </w:style>
  <w:style w:type="paragraph" w:customStyle="1" w:styleId="Default">
    <w:name w:val="Default"/>
    <w:basedOn w:val="Normal"/>
    <w:uiPriority w:val="99"/>
    <w:semiHidden/>
    <w:rsid w:val="0040399E"/>
    <w:pPr>
      <w:autoSpaceDE w:val="0"/>
      <w:autoSpaceDN w:val="0"/>
    </w:pPr>
    <w:rPr>
      <w:rFonts w:ascii="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image" Target="media/image1.jpeg" /><Relationship Id="rId5" Type="http://schemas.openxmlformats.org/officeDocument/2006/relationships/image" Target="media/image2.jpeg" /><Relationship Id="rId6" Type="http://schemas.openxmlformats.org/officeDocument/2006/relationships/theme" Target="theme/theme1.xml" /><Relationship Id="rId7" Type="http://schemas.openxmlformats.org/officeDocument/2006/relationships/numbering" Target="numbering.xml" /><Relationship Id="rId8"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69</TotalTime>
  <Pages>1</Pages>
  <Words>441</Words>
  <Characters>2516</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2952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Tyler Browne</dc:creator>
  <cp:lastModifiedBy>Bogner, Mark</cp:lastModifiedBy>
  <cp:revision>24</cp:revision>
  <dcterms:created xsi:type="dcterms:W3CDTF">2024-12-06T01:13:00Z</dcterms:created>
  <dcterms:modified xsi:type="dcterms:W3CDTF">2025-02-21T22:07:00Z</dcterms:modified>
</cp:coreProperties>
</file>