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06A1E"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Pr>
          <w:noProof/>
          <w:sz w:val="20"/>
          <w:szCs w:val="20"/>
        </w:rPr>
        <w:drawing>
          <wp:inline distT="0" distB="0" distL="0" distR="0">
            <wp:extent cx="1094677" cy="1155492"/>
            <wp:effectExtent l="0" t="0" r="0" b="635"/>
            <wp:docPr id="5" name="Picture 5"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ircle&#10;&#10;Description automatically generated"/>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1129900" cy="1192672"/>
                    </a:xfrm>
                    <a:prstGeom prst="rect">
                      <a:avLst/>
                    </a:prstGeom>
                  </pic:spPr>
                </pic:pic>
              </a:graphicData>
            </a:graphic>
          </wp:inline>
        </w:drawing>
      </w:r>
    </w:p>
    <w:p w:rsidR="00421CF3" w:rsidRPr="00421CF3">
      <w:pPr>
        <w:contextualSpacing/>
        <w:rPr>
          <w:sz w:val="20"/>
          <w:szCs w:val="20"/>
        </w:rPr>
      </w:pPr>
    </w:p>
    <w:p w:rsidR="00415E51" w:rsidRPr="00405232">
      <w:pPr>
        <w:rPr>
          <w:sz w:val="20"/>
          <w:szCs w:val="20"/>
        </w:rPr>
      </w:pP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w:instrText>
      </w:r>
      <w:r>
        <w:rPr>
          <w:sz w:val="20"/>
          <w:szCs w:val="20"/>
        </w:rPr>
        <w:instrText xml:space="preserve">" "" </w:instrText>
      </w:r>
      <w:r>
        <w:rPr>
          <w:sz w:val="20"/>
          <w:szCs w:val="20"/>
        </w:rPr>
        <w:fldChar w:fldCharType="separate"/>
      </w:r>
      <w:r>
        <w:rPr>
          <w:sz w:val="20"/>
          <w:szCs w:val="20"/>
        </w:rPr>
        <w:t>Live Activity</w:t>
      </w:r>
      <w:r>
        <w:rPr>
          <w:sz w:val="20"/>
          <w:szCs w:val="20"/>
        </w:rPr>
        <w:t xml:space="preserve">: </w:t>
      </w:r>
      <w:r>
        <w:rPr>
          <w:sz w:val="20"/>
          <w:szCs w:val="20"/>
        </w:rPr>
        <w:fldChar w:fldCharType="end"/>
      </w:r>
      <w:r>
        <w:rPr>
          <w:b/>
          <w:bCs/>
          <w:sz w:val="20"/>
          <w:szCs w:val="20"/>
        </w:rPr>
        <w:fldChar w:fldCharType="begin"/>
      </w:r>
      <w:r>
        <w:rPr>
          <w:b/>
          <w:bCs/>
          <w:sz w:val="20"/>
          <w:szCs w:val="20"/>
        </w:rPr>
        <w:instrText xml:space="preserve"> IF </w:instrText>
      </w:r>
      <w:r>
        <w:rPr>
          <w:b/>
          <w:bCs/>
          <w:sz w:val="20"/>
          <w:szCs w:val="20"/>
        </w:rPr>
        <w:instrText>"</w:instrText>
      </w:r>
      <w:r>
        <w:rPr>
          <w:b/>
          <w:bCs/>
          <w:sz w:val="20"/>
          <w:szCs w:val="20"/>
        </w:rPr>
        <w:instrText>"</w:instrText>
      </w:r>
      <w:r>
        <w:rPr>
          <w:b/>
          <w:bCs/>
          <w:sz w:val="20"/>
          <w:szCs w:val="20"/>
        </w:rPr>
        <w:instrText xml:space="preserve"> &lt;&gt; "" "</w:instrText>
      </w:r>
      <w:r>
        <w:rPr>
          <w:b/>
          <w:bCs/>
          <w:sz w:val="20"/>
          <w:szCs w:val="20"/>
        </w:rPr>
        <w:fldChar w:fldCharType="begin"/>
      </w:r>
      <w:r>
        <w:rPr>
          <w:b/>
          <w:bCs/>
          <w:sz w:val="20"/>
          <w:szCs w:val="20"/>
        </w:rPr>
        <w:instrText xml:space="preserve"> MERGEFIELD ParentName </w:instrText>
      </w:r>
      <w:r>
        <w:rPr>
          <w:b/>
          <w:bCs/>
          <w:sz w:val="20"/>
          <w:szCs w:val="20"/>
        </w:rPr>
        <w:fldChar w:fldCharType="separate"/>
      </w:r>
      <w:r w:rsidR="00634AE5">
        <w:rPr>
          <w:b/>
          <w:bCs/>
          <w:noProof/>
          <w:sz w:val="20"/>
          <w:szCs w:val="20"/>
        </w:rPr>
        <w:instrText>«ParentName»</w:instrText>
      </w:r>
      <w:r>
        <w:rPr>
          <w:b/>
          <w:bCs/>
          <w:sz w:val="20"/>
          <w:szCs w:val="20"/>
        </w:rPr>
        <w:fldChar w:fldCharType="end"/>
      </w:r>
      <w:r>
        <w:rPr>
          <w:b/>
          <w:bCs/>
          <w:sz w:val="20"/>
          <w:szCs w:val="20"/>
        </w:rPr>
        <w:instrText xml:space="preserve">" "" </w:instrText>
      </w:r>
      <w:r>
        <w:rPr>
          <w:b/>
          <w:bCs/>
          <w:sz w:val="20"/>
          <w:szCs w:val="20"/>
        </w:rPr>
        <w:fldChar w:fldCharType="separate"/>
      </w:r>
      <w:r>
        <w:rPr>
          <w:b/>
          <w:bCs/>
          <w:sz w:val="20"/>
          <w:szCs w:val="20"/>
        </w:rPr>
        <w:fldChar w:fldCharType="end"/>
      </w:r>
    </w:p>
    <w:p w:rsidR="00415E51">
      <w:pPr>
        <w:rPr>
          <w:sz w:val="20"/>
          <w:szCs w:val="20"/>
        </w:rPr>
      </w:pPr>
    </w:p>
    <w:p w:rsidR="00415E51">
      <w:pPr>
        <w:rPr>
          <w:sz w:val="20"/>
          <w:szCs w:val="20"/>
        </w:rPr>
      </w:pPr>
      <w:r>
        <w:rPr>
          <w:sz w:val="20"/>
          <w:szCs w:val="20"/>
        </w:rPr>
        <w:t xml:space="preserve">Date: </w:t>
      </w:r>
      <w:r w:rsidR="00F47BA9">
        <w:rPr>
          <w:sz w:val="20"/>
          <w:szCs w:val="20"/>
        </w:rPr>
        <w:t>Monday 05 June 2023</w:t>
      </w:r>
    </w:p>
    <w:p w:rsidR="00634AE5">
      <w:pPr>
        <w:rPr>
          <w:sz w:val="20"/>
          <w:szCs w:val="20"/>
        </w:rPr>
      </w:pPr>
      <w:r>
        <w:rPr>
          <w:sz w:val="20"/>
          <w:szCs w:val="20"/>
        </w:rPr>
        <w:t xml:space="preserve">Time: </w:t>
      </w:r>
      <w:r>
        <w:rPr>
          <w:sz w:val="20"/>
          <w:szCs w:val="20"/>
        </w:rPr>
        <w:t>08:00 AM</w:t>
      </w:r>
      <w:r>
        <w:rPr>
          <w:sz w:val="20"/>
          <w:szCs w:val="20"/>
        </w:rPr>
        <w:fldChar w:fldCharType="begin"/>
      </w:r>
      <w:r>
        <w:rPr>
          <w:sz w:val="20"/>
          <w:szCs w:val="20"/>
        </w:rPr>
        <w:instrText xml:space="preserve"> IF </w:instrText>
      </w:r>
      <w:r>
        <w:rPr>
          <w:sz w:val="20"/>
          <w:szCs w:val="20"/>
        </w:rPr>
        <w:instrText>"</w:instrText>
      </w:r>
      <w:r>
        <w:rPr>
          <w:sz w:val="20"/>
          <w:szCs w:val="20"/>
        </w:rPr>
        <w:instrText>"</w:instrText>
      </w:r>
      <w:r>
        <w:rPr>
          <w:sz w:val="20"/>
          <w:szCs w:val="20"/>
        </w:rPr>
        <w:instrText xml:space="preserve"> &lt;&gt; "" "</w:instrText>
      </w:r>
    </w:p>
    <w:p w:rsidR="00634AE5">
      <w:pPr>
        <w:rPr>
          <w:sz w:val="20"/>
          <w:szCs w:val="20"/>
        </w:rPr>
      </w:pPr>
    </w:p>
    <w:p w:rsidR="00634AE5">
      <w:pPr>
        <w:rPr>
          <w:noProof/>
          <w:sz w:val="20"/>
          <w:szCs w:val="20"/>
        </w:rPr>
      </w:pPr>
      <w:r>
        <w:rPr>
          <w:b/>
          <w:bCs/>
          <w:sz w:val="20"/>
          <w:szCs w:val="20"/>
        </w:rPr>
        <w:instrText>Target Audience:</w:instrText>
      </w:r>
      <w:r>
        <w:rPr>
          <w:sz w:val="20"/>
          <w:szCs w:val="20"/>
        </w:rPr>
        <w:instrText xml:space="preserve"> </w:instrText>
      </w:r>
      <w:r>
        <w:rPr>
          <w:sz w:val="20"/>
          <w:szCs w:val="20"/>
        </w:rPr>
        <w:fldChar w:fldCharType="begin"/>
      </w:r>
      <w:r>
        <w:rPr>
          <w:sz w:val="20"/>
          <w:szCs w:val="20"/>
        </w:rPr>
        <w:instrText xml:space="preserve"> MERGEFIELD TargetProfessions </w:instrText>
      </w:r>
      <w:r>
        <w:rPr>
          <w:sz w:val="20"/>
          <w:szCs w:val="20"/>
        </w:rPr>
        <w:fldChar w:fldCharType="separate"/>
      </w:r>
      <w:r>
        <w:rPr>
          <w:noProof/>
          <w:sz w:val="20"/>
          <w:szCs w:val="20"/>
        </w:rPr>
        <w:instrText>«TargetProfessions»</w:instrText>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F47BA9">
      <w:pPr>
        <w:rPr>
          <w:sz w:val="20"/>
          <w:szCs w:val="20"/>
        </w:rPr>
      </w:pPr>
    </w:p>
    <w:p w:rsidR="00F47BA9">
      <w:pPr>
        <w:rPr>
          <w:sz w:val="20"/>
          <w:szCs w:val="20"/>
        </w:rPr>
      </w:pPr>
      <w:r>
        <w:rPr>
          <w:b/>
          <w:bCs/>
          <w:sz w:val="20"/>
          <w:szCs w:val="20"/>
        </w:rPr>
        <w:t>Topic:</w:t>
      </w:r>
      <w:r>
        <w:rPr>
          <w:sz w:val="20"/>
          <w:szCs w:val="20"/>
        </w:rPr>
        <w:t xml:space="preserve"> </w:t>
      </w:r>
      <w:r w:rsidR="00634AE5">
        <w:rPr>
          <w:sz w:val="20"/>
          <w:szCs w:val="20"/>
        </w:rPr>
        <w:t>“</w:t>
      </w:r>
      <w:r>
        <w:rPr>
          <w:sz w:val="20"/>
          <w:szCs w:val="20"/>
        </w:rPr>
        <w:t>Breast Cancer Tumor Board</w:t>
      </w:r>
      <w:r w:rsidR="00634AE5">
        <w:rPr>
          <w:sz w:val="20"/>
          <w:szCs w:val="20"/>
        </w:rPr>
        <w:t>”</w:t>
      </w:r>
    </w:p>
    <w:p w:rsidR="00405232">
      <w:pPr>
        <w:rPr>
          <w:sz w:val="20"/>
          <w:szCs w:val="20"/>
        </w:rPr>
      </w:pPr>
    </w:p>
    <w:p w:rsidR="00405232" w:rsidP="00611E9C">
      <w:pPr>
        <w:ind w:right="4320"/>
        <w:rPr>
          <w:sz w:val="20"/>
          <w:szCs w:val="20"/>
        </w:rPr>
      </w:pPr>
      <w:r>
        <w:rPr>
          <w:noProof/>
          <w:sz w:val="20"/>
          <w:szCs w:val="20"/>
        </w:rPr>
        <mc:AlternateContent>
          <mc:Choice Requires="wps">
            <w:drawing>
              <wp:inline distT="0" distB="0" distL="0" distR="0">
                <wp:extent cx="3657600" cy="0"/>
                <wp:effectExtent l="0" t="0" r="12700" b="12700"/>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i1025" style="mso-left-percent:-10001;mso-position-horizontal-relative:char;mso-position-vertical-relative:line;mso-top-percent:-10001;mso-wrap-style:square;visibility:visible" from="0,0" to="4in,0" strokecolor="black" strokeweight="0.5pt">
                <v:stroke joinstyle="miter"/>
                <w10:wrap type="none"/>
                <w10:anchorlock/>
              </v:line>
            </w:pict>
          </mc:Fallback>
        </mc:AlternateContent>
      </w:r>
    </w:p>
    <w:p w:rsidR="00405232">
      <w:pPr>
        <w:rPr>
          <w:sz w:val="20"/>
          <w:szCs w:val="20"/>
        </w:rPr>
      </w:pPr>
    </w:p>
    <w:p w:rsidR="00E75192">
      <w:pPr>
        <w:rPr>
          <w:sz w:val="20"/>
          <w:szCs w:val="20"/>
        </w:rPr>
      </w:pPr>
    </w:p>
    <w:p w:rsidR="00611E9C" w:rsidP="00611E9C">
      <w:pPr>
        <w:ind w:right="4320"/>
        <w:rPr>
          <w:sz w:val="20"/>
          <w:szCs w:val="20"/>
        </w:rPr>
      </w:pPr>
      <w:r>
        <w:rPr>
          <w:noProof/>
          <w:sz w:val="20"/>
          <w:szCs w:val="20"/>
        </w:rPr>
        <mc:AlternateContent>
          <mc:Choice Requires="wps">
            <w:drawing>
              <wp:inline distT="0" distB="0" distL="0" distR="0">
                <wp:extent cx="3657600" cy="0"/>
                <wp:effectExtent l="0" t="0" r="12700" b="12700"/>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o:spid="_x0000_i1026" style="mso-left-percent:-10001;mso-position-horizontal-relative:char;mso-position-vertical-relative:line;mso-top-percent:-10001;mso-wrap-style:square;visibility:visible" from="0,0" to="4in,0" strokecolor="black" strokeweight="0.5pt">
                <v:stroke joinstyle="miter"/>
                <w10:wrap type="none"/>
                <w10:anchorlock/>
              </v:line>
            </w:pict>
          </mc:Fallback>
        </mc:AlternateContent>
      </w:r>
    </w:p>
    <w:p w:rsidR="00611E9C" w:rsidP="00611E9C">
      <w:pPr>
        <w:ind w:right="4320"/>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2"/>
        <w:gridCol w:w="3594"/>
        <w:gridCol w:w="3594"/>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gridSpan w:val="3"/>
            <w:shd w:val="clear" w:color="auto" w:fill="00B1F1"/>
          </w:tcPr>
          <w:p w:rsidR="00DC7118" w:rsidP="00DC7118">
            <w:pPr>
              <w:rPr>
                <w:b/>
                <w:bCs/>
                <w:color w:val="FFFFFF" w:themeColor="background1"/>
                <w:sz w:val="20"/>
                <w:szCs w:val="20"/>
              </w:rPr>
            </w:pPr>
          </w:p>
          <w:p w:rsidR="00611E9C" w:rsidRPr="00DC7118" w:rsidP="00DC7118">
            <w:pPr>
              <w:rPr>
                <w:color w:val="FFFFFF" w:themeColor="background1"/>
                <w:sz w:val="20"/>
                <w:szCs w:val="20"/>
              </w:rPr>
            </w:pPr>
            <w:r w:rsidRPr="00DC7118">
              <w:rPr>
                <w:b/>
                <w:bCs/>
                <w:color w:val="FFFFFF" w:themeColor="background1"/>
                <w:sz w:val="20"/>
                <w:szCs w:val="20"/>
              </w:rPr>
              <w:t>Describe this activity</w:t>
            </w:r>
            <w:r w:rsidRPr="00DC7118">
              <w:rPr>
                <w:color w:val="FFFFFF" w:themeColor="background1"/>
                <w:sz w:val="20"/>
                <w:szCs w:val="20"/>
              </w:rPr>
              <w:t xml:space="preserve"> (</w:t>
            </w:r>
            <w:r w:rsidRPr="00DC7118">
              <w:rPr>
                <w:i/>
                <w:iCs/>
                <w:color w:val="FFFFFF" w:themeColor="background1"/>
                <w:sz w:val="20"/>
                <w:szCs w:val="20"/>
              </w:rPr>
              <w:t>CME Programs are designed in a multidisciplinary fashion hence curriculum may differ slightly from Expert Speaker</w:t>
            </w:r>
            <w:r w:rsidRPr="00DC7118">
              <w:rPr>
                <w:color w:val="FFFFFF" w:themeColor="background1"/>
                <w:sz w:val="20"/>
                <w:szCs w:val="20"/>
              </w:rPr>
              <w:t>*)</w:t>
            </w:r>
          </w:p>
        </w:tc>
      </w:tr>
      <w:tr w:rsidTr="00A7204A">
        <w:tblPrEx>
          <w:tblW w:w="0" w:type="auto"/>
          <w:tblLook w:val="04A0"/>
        </w:tblPrEx>
        <w:tc>
          <w:tcPr>
            <w:tcW w:w="10780" w:type="dxa"/>
            <w:gridSpan w:val="3"/>
          </w:tcPr>
          <w:p w:rsidR="00DC7118" w:rsidP="00611E9C">
            <w:pPr>
              <w:ind w:right="4320"/>
              <w:rPr>
                <w:sz w:val="20"/>
                <w:szCs w:val="20"/>
              </w:rPr>
            </w:pPr>
          </w:p>
          <w:p w:rsidR="00DC7118">
            <w:pPr>
              <w:bidi w:val="0"/>
              <w:spacing w:after="280" w:afterAutospacing="1"/>
              <w:rPr>
                <w:sz w:val="20"/>
                <w:szCs w:val="20"/>
              </w:rPr>
            </w:pPr>
            <w:r>
              <w:rPr>
                <w:rtl w:val="0"/>
              </w:rPr>
              <w:t>Code: 2116  |  Breast Cancer Tumor Board meets weekly to discuss current breast cancer cases and facilitate treatment plans. Cases are presented for their history, pathology, radiology and treatment options.</w:t>
            </w:r>
          </w:p>
          <w:p>
            <w:pPr>
              <w:bidi w:val="0"/>
              <w:spacing w:after="280" w:afterAutospacing="1"/>
              <w:rPr>
                <w:rtl w:val="0"/>
              </w:rPr>
            </w:pPr>
            <w:r>
              <w:rPr>
                <w:rtl w:val="0"/>
              </w:rPr>
              <w:t>Join Zoom Meeting</w:t>
            </w:r>
            <w:r>
              <w:rPr>
                <w:rtl w:val="0"/>
              </w:rPr>
              <w:br/>
            </w:r>
            <w:r>
              <w:rPr>
                <w:rtl w:val="0"/>
              </w:rPr>
              <w:fldChar w:fldCharType="begin"/>
            </w:r>
            <w:r>
              <w:rPr>
                <w:rtl w:val="0"/>
              </w:rPr>
              <w:instrText xml:space="preserve"> HYPERLINK "https://us06web.zoom.us/j/84217791108?pwd=UTBKUXlWcVMwaWl0aG5ySHgrb3UzZz09" \t "_blank" </w:instrText>
            </w:r>
            <w:r>
              <w:rPr>
                <w:rtl w:val="0"/>
              </w:rPr>
              <w:fldChar w:fldCharType="separate"/>
            </w:r>
            <w:r>
              <w:rPr>
                <w:color w:val="0000FF"/>
                <w:u w:val="single"/>
                <w:rtl w:val="0"/>
              </w:rPr>
              <w:t>https://us06web.zoom.us/j/84217791108?pwd=UTBKUXlWcVMwaWl0aG5ySHgrb3UzZz09</w:t>
            </w:r>
            <w:r>
              <w:rPr>
                <w:rtl w:val="0"/>
              </w:rPr>
              <w:fldChar w:fldCharType="end"/>
            </w:r>
            <w:r>
              <w:rPr>
                <w:rtl w:val="0"/>
              </w:rPr>
              <w:br/>
            </w:r>
            <w:r>
              <w:rPr>
                <w:rtl w:val="0"/>
              </w:rPr>
              <w:br/>
            </w:r>
            <w:r>
              <w:rPr>
                <w:rtl w:val="0"/>
              </w:rPr>
              <w:t>Meeting ID: 842 1779 1108</w:t>
            </w:r>
            <w:r>
              <w:rPr>
                <w:rtl w:val="0"/>
              </w:rPr>
              <w:br/>
            </w:r>
            <w:r>
              <w:rPr>
                <w:rtl w:val="0"/>
              </w:rPr>
              <w:t>Passcode: 218173</w:t>
            </w:r>
            <w:r>
              <w:rPr>
                <w:rtl w:val="0"/>
              </w:rPr>
              <w:br/>
            </w:r>
            <w:r>
              <w:rPr>
                <w:rtl w:val="0"/>
              </w:rPr>
              <w:t>One tap mobile</w:t>
            </w:r>
            <w:r>
              <w:rPr>
                <w:rtl w:val="0"/>
              </w:rPr>
              <w:br/>
            </w:r>
            <w:r>
              <w:rPr>
                <w:rtl w:val="0"/>
              </w:rPr>
              <w:t>+16694449171,,84217791108#,,,,*218173# US</w:t>
            </w:r>
            <w:r>
              <w:rPr>
                <w:rtl w:val="0"/>
              </w:rPr>
              <w:br/>
            </w:r>
            <w:r>
              <w:rPr>
                <w:rtl w:val="0"/>
              </w:rPr>
              <w:t>+16699006833,,84217791108#,,,,*218173# US (San Jose)</w:t>
            </w:r>
            <w:r>
              <w:rPr>
                <w:rtl w:val="0"/>
              </w:rPr>
              <w:br/>
            </w:r>
            <w:r>
              <w:rPr>
                <w:rtl w:val="0"/>
              </w:rPr>
              <w:br/>
            </w:r>
            <w:r>
              <w:rPr>
                <w:rtl w:val="0"/>
              </w:rPr>
              <w:t>Dial by your location</w:t>
            </w:r>
            <w:r>
              <w:rPr>
                <w:rtl w:val="0"/>
              </w:rPr>
              <w:br/>
            </w:r>
            <w:r>
              <w:rPr>
                <w:rtl w:val="0"/>
              </w:rPr>
              <w:t>        +1 669 444 9171 US</w:t>
            </w:r>
            <w:r>
              <w:rPr>
                <w:rtl w:val="0"/>
              </w:rPr>
              <w:br/>
            </w:r>
            <w:r>
              <w:rPr>
                <w:rtl w:val="0"/>
              </w:rPr>
              <w:t>        +1 669 900 6833 US (San Jose)</w:t>
            </w:r>
            <w:r>
              <w:rPr>
                <w:rtl w:val="0"/>
              </w:rPr>
              <w:br/>
            </w:r>
            <w:r>
              <w:rPr>
                <w:rtl w:val="0"/>
              </w:rPr>
              <w:t>        +1 253 205 0468 US</w:t>
            </w:r>
            <w:r>
              <w:rPr>
                <w:rtl w:val="0"/>
              </w:rPr>
              <w:br/>
            </w:r>
            <w:r>
              <w:rPr>
                <w:rtl w:val="0"/>
              </w:rPr>
              <w:t>        +1 253 215 8782 US (Tacoma)</w:t>
            </w:r>
            <w:r>
              <w:rPr>
                <w:rtl w:val="0"/>
              </w:rPr>
              <w:br/>
            </w:r>
            <w:r>
              <w:rPr>
                <w:rtl w:val="0"/>
              </w:rPr>
              <w:t>        +1 346 248 7799 US (Houston)</w:t>
            </w:r>
            <w:r>
              <w:rPr>
                <w:rtl w:val="0"/>
              </w:rPr>
              <w:br/>
            </w:r>
            <w:r>
              <w:rPr>
                <w:rtl w:val="0"/>
              </w:rPr>
              <w:t>        +1 719 359 4580 US</w:t>
            </w:r>
            <w:r>
              <w:rPr>
                <w:rtl w:val="0"/>
              </w:rPr>
              <w:br/>
            </w:r>
            <w:r>
              <w:rPr>
                <w:rtl w:val="0"/>
              </w:rPr>
              <w:t>        +1 301 715 8592 US (Washington DC)</w:t>
            </w:r>
            <w:r>
              <w:rPr>
                <w:rtl w:val="0"/>
              </w:rPr>
              <w:br/>
            </w:r>
            <w:r>
              <w:rPr>
                <w:rtl w:val="0"/>
              </w:rPr>
              <w:t>        +1 305 224 1968 US</w:t>
            </w:r>
            <w:r>
              <w:rPr>
                <w:rtl w:val="0"/>
              </w:rPr>
              <w:br/>
            </w:r>
            <w:r>
              <w:rPr>
                <w:rtl w:val="0"/>
              </w:rPr>
              <w:t>        +1 309 205 3325 US</w:t>
            </w:r>
            <w:r>
              <w:rPr>
                <w:rtl w:val="0"/>
              </w:rPr>
              <w:br/>
            </w:r>
            <w:r>
              <w:rPr>
                <w:rtl w:val="0"/>
              </w:rPr>
              <w:t>        +1 312 626 6799 US (Chicago)</w:t>
            </w:r>
            <w:r>
              <w:rPr>
                <w:rtl w:val="0"/>
              </w:rPr>
              <w:br/>
            </w:r>
            <w:r>
              <w:rPr>
                <w:rtl w:val="0"/>
              </w:rPr>
              <w:t>        +1 360 209 5623 US</w:t>
            </w:r>
            <w:r>
              <w:rPr>
                <w:rtl w:val="0"/>
              </w:rPr>
              <w:br/>
            </w:r>
            <w:r>
              <w:rPr>
                <w:rtl w:val="0"/>
              </w:rPr>
              <w:t>        +1 386 347 5053 US</w:t>
            </w:r>
            <w:r>
              <w:rPr>
                <w:rtl w:val="0"/>
              </w:rPr>
              <w:br/>
            </w:r>
            <w:r>
              <w:rPr>
                <w:rtl w:val="0"/>
              </w:rPr>
              <w:t>        +1 507 473 4847 US</w:t>
            </w:r>
            <w:r>
              <w:rPr>
                <w:rtl w:val="0"/>
              </w:rPr>
              <w:br/>
            </w:r>
            <w:r>
              <w:rPr>
                <w:rtl w:val="0"/>
              </w:rPr>
              <w:t>        +1 564 217 2000 US</w:t>
            </w:r>
            <w:r>
              <w:rPr>
                <w:rtl w:val="0"/>
              </w:rPr>
              <w:br/>
            </w:r>
            <w:r>
              <w:rPr>
                <w:rtl w:val="0"/>
              </w:rPr>
              <w:t>        +1 646 931 3860 US</w:t>
            </w:r>
            <w:r>
              <w:rPr>
                <w:rtl w:val="0"/>
              </w:rPr>
              <w:br/>
            </w:r>
            <w:r>
              <w:rPr>
                <w:rtl w:val="0"/>
              </w:rPr>
              <w:t>        +1 689 278 1000 US</w:t>
            </w:r>
            <w:r>
              <w:rPr>
                <w:rtl w:val="0"/>
              </w:rPr>
              <w:br/>
            </w:r>
            <w:r>
              <w:rPr>
                <w:rtl w:val="0"/>
              </w:rPr>
              <w:t>        +1 929 205 6099 US (New York)</w:t>
            </w:r>
            <w:r>
              <w:rPr>
                <w:rtl w:val="0"/>
              </w:rPr>
              <w:br/>
            </w:r>
            <w:r>
              <w:rPr>
                <w:rtl w:val="0"/>
              </w:rPr>
              <w:t>Meeting ID: 842 1779 1108</w:t>
            </w:r>
            <w:r>
              <w:rPr>
                <w:rtl w:val="0"/>
              </w:rPr>
              <w:br/>
            </w:r>
            <w:r>
              <w:rPr>
                <w:rtl w:val="0"/>
              </w:rPr>
              <w:t>Passcode: 218173</w:t>
            </w:r>
            <w:r>
              <w:rPr>
                <w:rtl w:val="0"/>
              </w:rPr>
              <w:br/>
            </w:r>
            <w:r>
              <w:rPr>
                <w:rtl w:val="0"/>
              </w:rPr>
              <w:t>Find your local number: </w:t>
            </w:r>
            <w:r>
              <w:rPr>
                <w:rtl w:val="0"/>
              </w:rPr>
              <w:fldChar w:fldCharType="begin"/>
            </w:r>
            <w:r>
              <w:rPr>
                <w:rtl w:val="0"/>
              </w:rPr>
              <w:instrText xml:space="preserve"> HYPERLINK "https://us06web.zoom.us/u/kdaWLF6MWn" \t "_blank" </w:instrText>
            </w:r>
            <w:r>
              <w:rPr>
                <w:rtl w:val="0"/>
              </w:rPr>
              <w:fldChar w:fldCharType="separate"/>
            </w:r>
            <w:r>
              <w:rPr>
                <w:color w:val="0000FF"/>
                <w:u w:val="single"/>
                <w:rtl w:val="0"/>
              </w:rPr>
              <w:t>https://us06web.zoom.us/u/kdaWLF6MWn</w:t>
            </w:r>
            <w:r>
              <w:rPr>
                <w:rtl w:val="0"/>
              </w:rPr>
              <w:fldChar w:fldCharType="end"/>
            </w:r>
          </w:p>
          <w:p>
            <w:pPr>
              <w:bidi w:val="0"/>
              <w:spacing w:after="280" w:afterAutospacing="1"/>
              <w:rPr>
                <w:sz w:val="20"/>
                <w:szCs w:val="20"/>
              </w:rPr>
            </w:pPr>
          </w:p>
        </w:tc>
      </w:tr>
      <w:tr w:rsidTr="0040399E">
        <w:tblPrEx>
          <w:tblW w:w="0" w:type="auto"/>
          <w:tblLook w:val="04A0"/>
        </w:tblPrEx>
        <w:tc>
          <w:tcPr>
            <w:tcW w:w="10780" w:type="dxa"/>
            <w:gridSpan w:val="3"/>
            <w:shd w:val="clear" w:color="auto" w:fill="00B1F1"/>
          </w:tcPr>
          <w:p w:rsidR="0040399E" w:rsidP="0040399E">
            <w:pPr>
              <w:rPr>
                <w:b/>
                <w:bCs/>
                <w:color w:val="FFFFFF"/>
                <w:sz w:val="20"/>
                <w:szCs w:val="20"/>
              </w:rPr>
            </w:pPr>
          </w:p>
          <w:p w:rsidR="0040399E" w:rsidRPr="0040399E" w:rsidP="0040399E">
            <w:pPr>
              <w:rPr>
                <w:b/>
                <w:bCs/>
                <w:color w:val="FFFFFF"/>
                <w:sz w:val="20"/>
                <w:szCs w:val="20"/>
              </w:rPr>
            </w:pPr>
            <w:r>
              <w:rPr>
                <w:b/>
                <w:bCs/>
                <w:color w:val="FFFFFF"/>
                <w:sz w:val="20"/>
                <w:szCs w:val="20"/>
              </w:rPr>
              <w:t>How will this activity address cultural, linguistic &amp; implicit bias gaps or disparities?</w:t>
            </w:r>
          </w:p>
        </w:tc>
      </w:tr>
      <w:tr w:rsidTr="0040399E">
        <w:tblPrEx>
          <w:tblW w:w="0" w:type="auto"/>
          <w:tblLook w:val="04A0"/>
        </w:tblPrEx>
        <w:tc>
          <w:tcPr>
            <w:tcW w:w="10780" w:type="dxa"/>
            <w:gridSpan w:val="3"/>
            <w:shd w:val="clear" w:color="auto" w:fill="00B1F1"/>
          </w:tcPr>
          <w:p w:rsidR="0040399E" w:rsidP="0040399E">
            <w:pPr>
              <w:rPr>
                <w:b/>
                <w:bCs/>
                <w:color w:val="FFFFFF"/>
                <w:sz w:val="20"/>
                <w:szCs w:val="20"/>
              </w:rPr>
            </w:pPr>
          </w:p>
          <w:p w:rsidR="0040399E" w:rsidP="0040399E">
            <w:pPr>
              <w:pStyle w:val="ListParagraph"/>
              <w:numPr>
                <w:ilvl w:val="0"/>
                <w:numId w:val="1"/>
              </w:numPr>
              <w:spacing w:after="0" w:line="240" w:lineRule="auto"/>
              <w:rPr>
                <w:rFonts w:eastAsia="Times New Roman"/>
                <w:color w:val="FFFFFF"/>
                <w:sz w:val="20"/>
                <w:szCs w:val="20"/>
              </w:rPr>
            </w:pPr>
            <w:r>
              <w:rPr>
                <w:rFonts w:eastAsia="Times New Roman"/>
                <w:b/>
                <w:bCs/>
                <w:color w:val="FFFFFF"/>
                <w:sz w:val="20"/>
                <w:szCs w:val="20"/>
                <w:u w:val="single"/>
              </w:rPr>
              <w:t>Cultural &amp; Linguistic Competencies addressed? Definition:</w:t>
            </w:r>
            <w:r>
              <w:rPr>
                <w:rFonts w:eastAsia="Times New Roman"/>
                <w:color w:val="FFFFFF"/>
                <w:sz w:val="20"/>
                <w:szCs w:val="20"/>
              </w:rPr>
              <w:t xml:space="preserve"> “The ability and readiness of health care providers and organizations to humbly and respectfully demonstrate, effectively communicate, and tailor delivery of care to patients with diverse values, beliefs, identities and behaviors, in order to meet social, cultural and linguistic needs as they relate to patient health.”</w:t>
            </w:r>
          </w:p>
          <w:p w:rsidR="0040399E" w:rsidRPr="0040399E" w:rsidP="0040399E">
            <w:pPr>
              <w:pStyle w:val="ListParagraph"/>
              <w:numPr>
                <w:ilvl w:val="0"/>
                <w:numId w:val="1"/>
              </w:numPr>
              <w:spacing w:after="0" w:line="240" w:lineRule="auto"/>
              <w:rPr>
                <w:rFonts w:eastAsia="Times New Roman"/>
                <w:color w:val="FFFFFF"/>
                <w:sz w:val="20"/>
                <w:szCs w:val="20"/>
              </w:rPr>
            </w:pPr>
            <w:r w:rsidRPr="0040399E">
              <w:rPr>
                <w:rFonts w:eastAsia="Times New Roman"/>
                <w:b/>
                <w:bCs/>
                <w:color w:val="FFFFFF"/>
                <w:sz w:val="20"/>
                <w:szCs w:val="20"/>
                <w:u w:val="single"/>
              </w:rPr>
              <w:t>Implicit Bias addressed? Definition:</w:t>
            </w:r>
            <w:r w:rsidRPr="0040399E">
              <w:rPr>
                <w:rFonts w:eastAsia="Times New Roman"/>
                <w:color w:val="FFFFFF"/>
                <w:sz w:val="20"/>
                <w:szCs w:val="20"/>
              </w:rPr>
              <w:t xml:space="preserve"> “The attitudes, </w:t>
            </w:r>
            <w:r w:rsidRPr="0040399E">
              <w:rPr>
                <w:rFonts w:eastAsia="Times New Roman"/>
                <w:color w:val="FFFFFF"/>
                <w:sz w:val="20"/>
                <w:szCs w:val="20"/>
              </w:rPr>
              <w:t>stereotypes</w:t>
            </w:r>
            <w:r w:rsidRPr="0040399E">
              <w:rPr>
                <w:rFonts w:eastAsia="Times New Roman"/>
                <w:color w:val="FFFFFF"/>
                <w:sz w:val="20"/>
                <w:szCs w:val="20"/>
              </w:rPr>
              <w:t xml:space="preserve"> and feelings, either positive or negative, that affect our understanding, actions and decisions without conscious knowledge or control. Implicit bias is a universal phenomenon. When negative, implicit bias often contributes to unequal treatment and disparities in diagnosis, treatment decisions, levels of care and health care outcomes of people based on race, ethnicity, gender identity, sexual orientation, age, </w:t>
            </w:r>
            <w:r w:rsidRPr="0040399E">
              <w:rPr>
                <w:rFonts w:eastAsia="Times New Roman"/>
                <w:color w:val="FFFFFF"/>
                <w:sz w:val="20"/>
                <w:szCs w:val="20"/>
              </w:rPr>
              <w:t>disability</w:t>
            </w:r>
            <w:r w:rsidRPr="0040399E">
              <w:rPr>
                <w:rFonts w:eastAsia="Times New Roman"/>
                <w:color w:val="FFFFFF"/>
                <w:sz w:val="20"/>
                <w:szCs w:val="20"/>
              </w:rPr>
              <w:t xml:space="preserve"> and other characteristics.”</w:t>
            </w:r>
          </w:p>
        </w:tc>
      </w:tr>
      <w:tr w:rsidTr="00C92967">
        <w:tblPrEx>
          <w:tblW w:w="0" w:type="auto"/>
          <w:tblLook w:val="04A0"/>
        </w:tblPrEx>
        <w:tc>
          <w:tcPr>
            <w:tcW w:w="10780" w:type="dxa"/>
            <w:gridSpan w:val="3"/>
          </w:tcPr>
          <w:p w:rsidR="00DC7118" w:rsidRPr="0040399E" w:rsidP="005C50C3">
            <w:pPr>
              <w:pStyle w:val="ListParagraph"/>
              <w:numPr>
                <w:ilvl w:val="0"/>
                <w:numId w:val="3"/>
              </w:numPr>
              <w:rPr>
                <w:sz w:val="20"/>
                <w:szCs w:val="20"/>
              </w:rPr>
            </w:pPr>
          </w:p>
        </w:tc>
      </w:tr>
      <w:tr w:rsidTr="00C92967">
        <w:tblPrEx>
          <w:tblW w:w="0" w:type="auto"/>
          <w:tblLook w:val="04A0"/>
        </w:tblPrEx>
        <w:tc>
          <w:tcPr>
            <w:tcW w:w="10780" w:type="dxa"/>
            <w:gridSpan w:val="3"/>
          </w:tcPr>
          <w:p w:rsidR="0040399E" w:rsidP="00611E9C">
            <w:pPr>
              <w:ind w:right="4320"/>
              <w:rPr>
                <w:sz w:val="20"/>
                <w:szCs w:val="20"/>
              </w:rPr>
            </w:pPr>
          </w:p>
        </w:tc>
      </w:tr>
      <w:tr w:rsidTr="0040399E">
        <w:tblPrEx>
          <w:tblW w:w="0" w:type="auto"/>
          <w:tblLook w:val="04A0"/>
        </w:tblPrEx>
        <w:tc>
          <w:tcPr>
            <w:tcW w:w="3592" w:type="dxa"/>
            <w:shd w:val="clear" w:color="auto" w:fill="00B1F1"/>
          </w:tcPr>
          <w:p w:rsidR="0040399E" w:rsidP="00AF12F1">
            <w:pPr>
              <w:pStyle w:val="Default"/>
              <w:rPr>
                <w:sz w:val="20"/>
                <w:szCs w:val="20"/>
              </w:rPr>
            </w:pPr>
            <w:r>
              <w:rPr>
                <w:rFonts w:eastAsia="Times New Roman"/>
                <w:sz w:val="20"/>
                <w:szCs w:val="20"/>
              </w:rPr>
              <w:br w:type="page"/>
            </w:r>
          </w:p>
          <w:p w:rsidR="0040399E" w:rsidP="00AF12F1">
            <w:pPr>
              <w:pStyle w:val="Default"/>
              <w:rPr>
                <w:b/>
                <w:bCs/>
                <w:color w:val="FFFFFF"/>
                <w:sz w:val="20"/>
                <w:szCs w:val="20"/>
              </w:rPr>
            </w:pPr>
            <w:r>
              <w:rPr>
                <w:b/>
                <w:bCs/>
                <w:color w:val="FFFFFF"/>
                <w:sz w:val="20"/>
                <w:szCs w:val="20"/>
              </w:rPr>
              <w:t>Professional Practice Gaps</w:t>
            </w:r>
          </w:p>
          <w:p w:rsidR="0040399E" w:rsidP="00AF12F1">
            <w:pPr>
              <w:pStyle w:val="Default"/>
              <w:rPr>
                <w:b/>
                <w:bCs/>
                <w:color w:val="FFFFFF"/>
                <w:sz w:val="20"/>
                <w:szCs w:val="20"/>
              </w:rPr>
            </w:pPr>
          </w:p>
          <w:p w:rsidR="0040399E" w:rsidP="00AF12F1">
            <w:pPr>
              <w:rPr>
                <w:sz w:val="20"/>
                <w:szCs w:val="20"/>
              </w:rPr>
            </w:pPr>
            <w:r>
              <w:rPr>
                <w:color w:val="FFFFFF"/>
                <w:sz w:val="20"/>
                <w:szCs w:val="20"/>
              </w:rPr>
              <w:t>Gaps are the difference between actual (</w:t>
            </w:r>
            <w:r>
              <w:rPr>
                <w:i/>
                <w:iCs/>
                <w:color w:val="FFFFFF"/>
                <w:sz w:val="20"/>
                <w:szCs w:val="20"/>
              </w:rPr>
              <w:t>what is</w:t>
            </w:r>
            <w:r>
              <w:rPr>
                <w:color w:val="FFFFFF"/>
                <w:sz w:val="20"/>
                <w:szCs w:val="20"/>
              </w:rPr>
              <w:t>) and ideal (</w:t>
            </w:r>
            <w:r>
              <w:rPr>
                <w:i/>
                <w:iCs/>
                <w:color w:val="FFFFFF"/>
                <w:sz w:val="20"/>
                <w:szCs w:val="20"/>
              </w:rPr>
              <w:t>what should be</w:t>
            </w:r>
            <w:r>
              <w:rPr>
                <w:color w:val="FFFFFF"/>
                <w:sz w:val="20"/>
                <w:szCs w:val="20"/>
              </w:rPr>
              <w:t xml:space="preserve">). List one or more problems in practice that this activity is attempting to address. </w:t>
            </w:r>
          </w:p>
        </w:tc>
        <w:tc>
          <w:tcPr>
            <w:tcW w:w="3594" w:type="dxa"/>
            <w:shd w:val="clear" w:color="auto" w:fill="00B1F1"/>
          </w:tcPr>
          <w:p w:rsidR="0040399E" w:rsidP="00AF12F1">
            <w:pPr>
              <w:pStyle w:val="Default"/>
              <w:rPr>
                <w:b/>
                <w:bCs/>
                <w:color w:val="FFFFFF"/>
                <w:sz w:val="20"/>
                <w:szCs w:val="20"/>
              </w:rPr>
            </w:pPr>
          </w:p>
          <w:p w:rsidR="0040399E" w:rsidP="00AF12F1">
            <w:pPr>
              <w:pStyle w:val="Default"/>
              <w:rPr>
                <w:b/>
                <w:bCs/>
                <w:color w:val="FFFFFF"/>
                <w:sz w:val="20"/>
                <w:szCs w:val="20"/>
              </w:rPr>
            </w:pPr>
            <w:r>
              <w:rPr>
                <w:b/>
                <w:bCs/>
                <w:color w:val="FFFFFF"/>
                <w:sz w:val="20"/>
                <w:szCs w:val="20"/>
              </w:rPr>
              <w:t xml:space="preserve">Educational Needs </w:t>
            </w:r>
          </w:p>
          <w:p w:rsidR="0040399E" w:rsidP="00AF12F1">
            <w:pPr>
              <w:pStyle w:val="Default"/>
              <w:rPr>
                <w:b/>
                <w:bCs/>
                <w:color w:val="FFFFFF"/>
                <w:sz w:val="20"/>
                <w:szCs w:val="20"/>
              </w:rPr>
            </w:pPr>
          </w:p>
          <w:p w:rsidR="0040399E" w:rsidP="00AF12F1">
            <w:pPr>
              <w:rPr>
                <w:sz w:val="20"/>
                <w:szCs w:val="20"/>
              </w:rPr>
            </w:pPr>
            <w:r>
              <w:rPr>
                <w:color w:val="FFFFFF"/>
                <w:sz w:val="20"/>
                <w:szCs w:val="20"/>
              </w:rPr>
              <w:t xml:space="preserve">Specify what the learner needs </w:t>
            </w:r>
            <w:r>
              <w:rPr>
                <w:color w:val="FFFFFF"/>
                <w:sz w:val="20"/>
                <w:szCs w:val="20"/>
              </w:rPr>
              <w:t>in order to</w:t>
            </w:r>
            <w:r>
              <w:rPr>
                <w:color w:val="FFFFFF"/>
                <w:sz w:val="20"/>
                <w:szCs w:val="20"/>
              </w:rPr>
              <w:t xml:space="preserve"> close the gap. </w:t>
            </w:r>
          </w:p>
        </w:tc>
        <w:tc>
          <w:tcPr>
            <w:tcW w:w="3594" w:type="dxa"/>
            <w:shd w:val="clear" w:color="auto" w:fill="00B1F1"/>
          </w:tcPr>
          <w:p w:rsidR="0040399E" w:rsidP="00AF12F1">
            <w:pPr>
              <w:pStyle w:val="Default"/>
              <w:rPr>
                <w:b/>
                <w:bCs/>
                <w:color w:val="FFFFFF"/>
                <w:sz w:val="20"/>
                <w:szCs w:val="20"/>
              </w:rPr>
            </w:pPr>
          </w:p>
          <w:p w:rsidR="0040399E" w:rsidP="00AF12F1">
            <w:pPr>
              <w:pStyle w:val="Default"/>
              <w:rPr>
                <w:b/>
                <w:bCs/>
                <w:color w:val="FFFFFF"/>
                <w:sz w:val="20"/>
                <w:szCs w:val="20"/>
              </w:rPr>
            </w:pPr>
            <w:r>
              <w:rPr>
                <w:b/>
                <w:bCs/>
                <w:color w:val="FFFFFF"/>
                <w:sz w:val="20"/>
                <w:szCs w:val="20"/>
              </w:rPr>
              <w:t xml:space="preserve">Learning Objectives </w:t>
            </w:r>
          </w:p>
          <w:p w:rsidR="0040399E" w:rsidP="00AF12F1">
            <w:pPr>
              <w:pStyle w:val="Default"/>
              <w:rPr>
                <w:b/>
                <w:bCs/>
                <w:color w:val="FFFFFF"/>
                <w:sz w:val="20"/>
                <w:szCs w:val="20"/>
              </w:rPr>
            </w:pPr>
          </w:p>
          <w:p w:rsidR="0040399E" w:rsidP="00AF12F1">
            <w:pPr>
              <w:rPr>
                <w:color w:val="FFFFFF"/>
                <w:sz w:val="20"/>
                <w:szCs w:val="20"/>
              </w:rPr>
            </w:pPr>
            <w:r>
              <w:rPr>
                <w:color w:val="FFFFFF"/>
                <w:sz w:val="20"/>
                <w:szCs w:val="20"/>
              </w:rPr>
              <w:t xml:space="preserve">What do you expect learners to be able to do </w:t>
            </w:r>
            <w:r>
              <w:rPr>
                <w:color w:val="FFFFFF"/>
                <w:sz w:val="20"/>
                <w:szCs w:val="20"/>
              </w:rPr>
              <w:t>as a result of</w:t>
            </w:r>
            <w:r>
              <w:rPr>
                <w:color w:val="FFFFFF"/>
                <w:sz w:val="20"/>
                <w:szCs w:val="20"/>
              </w:rPr>
              <w:t xml:space="preserve"> this activity? </w:t>
            </w:r>
          </w:p>
          <w:p w:rsidR="0040399E" w:rsidP="00AF12F1">
            <w:pPr>
              <w:rPr>
                <w:sz w:val="20"/>
                <w:szCs w:val="20"/>
              </w:rPr>
            </w:pPr>
            <w:r>
              <w:rPr>
                <w:color w:val="FFFFFF"/>
                <w:sz w:val="20"/>
                <w:szCs w:val="20"/>
              </w:rPr>
              <w:t>“At the conclusion of this activity, learners will be able to …”</w:t>
            </w:r>
            <w:r>
              <w:rPr>
                <w:b/>
                <w:bCs/>
                <w:color w:val="FFFFFF"/>
                <w:sz w:val="20"/>
                <w:szCs w:val="20"/>
              </w:rPr>
              <w:t xml:space="preserve"> </w:t>
            </w:r>
          </w:p>
        </w:tc>
      </w:tr>
      <w:tr w:rsidTr="00CD4ADC">
        <w:tblPrEx>
          <w:tblW w:w="0" w:type="auto"/>
          <w:tblLook w:val="04A0"/>
        </w:tblPrEx>
        <w:tc>
          <w:tcPr>
            <w:tcW w:w="3592" w:type="dxa"/>
            <w:shd w:val="clear" w:color="auto" w:fill="auto"/>
          </w:tcPr>
          <w:p w:rsidR="00CD4ADC" w:rsidRPr="00F37DB0" w:rsidP="00AF12F1">
            <w:pPr>
              <w:pStyle w:val="Default"/>
              <w:rPr>
                <w:rFonts w:eastAsia="Times New Roman"/>
                <w:sz w:val="20"/>
                <w:szCs w:val="20"/>
              </w:rPr>
            </w:pPr>
          </w:p>
        </w:tc>
        <w:tc>
          <w:tcPr>
            <w:tcW w:w="3594" w:type="dxa"/>
            <w:shd w:val="clear" w:color="auto" w:fill="auto"/>
          </w:tcPr>
          <w:p w:rsidR="00CD4ADC" w:rsidRPr="00F37DB0" w:rsidP="00AF12F1">
            <w:pPr>
              <w:pStyle w:val="Default"/>
              <w:rPr>
                <w:color w:val="FFFFFF"/>
                <w:sz w:val="20"/>
                <w:szCs w:val="20"/>
              </w:rPr>
            </w:pPr>
          </w:p>
        </w:tc>
        <w:tc>
          <w:tcPr>
            <w:tcW w:w="3594" w:type="dxa"/>
            <w:shd w:val="clear" w:color="auto" w:fill="auto"/>
          </w:tcPr>
          <w:p w:rsidR="00F37DB0" w:rsidP="00AF12F1">
            <w:pPr>
              <w:pStyle w:val="Default"/>
              <w:rPr>
                <w:color w:val="auto"/>
                <w:sz w:val="20"/>
                <w:szCs w:val="20"/>
              </w:rPr>
            </w:pPr>
          </w:p>
          <w:p w:rsidR="00CD4ADC" w:rsidRPr="00F37DB0" w:rsidP="00AF12F1">
            <w:pPr>
              <w:pStyle w:val="Default"/>
              <w:rPr>
                <w:color w:val="auto"/>
                <w:sz w:val="20"/>
                <w:szCs w:val="20"/>
              </w:rPr>
            </w:pPr>
            <w:r>
              <w:rPr>
                <w:color w:val="auto"/>
                <w:sz w:val="20"/>
                <w:szCs w:val="20"/>
              </w:rPr>
              <w:t>1 Write a Treatment plan based on NCCN guidelines</w:t>
            </w:r>
          </w:p>
        </w:tc>
      </w:tr>
      <w:tr w:rsidTr="00F37DB0">
        <w:tblPrEx>
          <w:tblW w:w="0" w:type="auto"/>
          <w:tblLook w:val="04A0"/>
        </w:tblPrEx>
        <w:tc>
          <w:tcPr>
            <w:tcW w:w="10780" w:type="dxa"/>
            <w:gridSpan w:val="3"/>
            <w:shd w:val="clear" w:color="auto" w:fill="00B1F1"/>
          </w:tcPr>
          <w:p w:rsidR="00F37DB0" w:rsidP="00AF12F1">
            <w:pPr>
              <w:pStyle w:val="Default"/>
              <w:rPr>
                <w:color w:val="FFFFFF" w:themeColor="background1"/>
                <w:sz w:val="20"/>
                <w:szCs w:val="20"/>
              </w:rPr>
            </w:pPr>
          </w:p>
          <w:p w:rsidR="00F37DB0" w:rsidRPr="00F37DB0" w:rsidP="00AF12F1">
            <w:pPr>
              <w:pStyle w:val="Default"/>
              <w:rPr>
                <w:b/>
                <w:bCs/>
                <w:color w:val="FFFFFF" w:themeColor="background1"/>
                <w:sz w:val="20"/>
                <w:szCs w:val="20"/>
              </w:rPr>
            </w:pPr>
            <w:r>
              <w:rPr>
                <w:b/>
                <w:bCs/>
                <w:color w:val="FFFFFF" w:themeColor="background1"/>
                <w:sz w:val="20"/>
                <w:szCs w:val="20"/>
              </w:rPr>
              <w:t>Sources:</w:t>
            </w:r>
          </w:p>
        </w:tc>
      </w:tr>
      <w:tr w:rsidTr="00F37DB0">
        <w:tblPrEx>
          <w:tblW w:w="0" w:type="auto"/>
          <w:tblLook w:val="04A0"/>
        </w:tblPrEx>
        <w:tc>
          <w:tcPr>
            <w:tcW w:w="10780" w:type="dxa"/>
            <w:gridSpan w:val="3"/>
            <w:shd w:val="clear" w:color="auto" w:fill="auto"/>
          </w:tcPr>
          <w:p w:rsidR="00F37DB0" w:rsidRPr="00F37DB0" w:rsidP="00F37DB0">
            <w:pPr>
              <w:pStyle w:val="Default"/>
              <w:numPr>
                <w:ilvl w:val="0"/>
                <w:numId w:val="4"/>
              </w:numPr>
              <w:rPr>
                <w:color w:val="000000" w:themeColor="text1"/>
                <w:sz w:val="20"/>
                <w:szCs w:val="20"/>
              </w:rPr>
            </w:pPr>
          </w:p>
        </w:tc>
      </w:tr>
      <w:tr w:rsidTr="00F37DB0">
        <w:tblPrEx>
          <w:tblW w:w="0" w:type="auto"/>
          <w:tblLook w:val="04A0"/>
        </w:tblPrEx>
        <w:tc>
          <w:tcPr>
            <w:tcW w:w="10780" w:type="dxa"/>
            <w:gridSpan w:val="3"/>
            <w:shd w:val="clear" w:color="auto" w:fill="00B1F1"/>
          </w:tcPr>
          <w:p w:rsidR="00F37DB0" w:rsidP="00F37DB0">
            <w:pPr>
              <w:pStyle w:val="Default"/>
              <w:rPr>
                <w:color w:val="000000" w:themeColor="text1"/>
                <w:sz w:val="20"/>
                <w:szCs w:val="20"/>
              </w:rPr>
            </w:pPr>
          </w:p>
          <w:p w:rsidR="00F37DB0" w:rsidRPr="00F37DB0" w:rsidP="00F37DB0">
            <w:pPr>
              <w:pStyle w:val="Default"/>
              <w:jc w:val="center"/>
              <w:rPr>
                <w:b/>
                <w:bCs/>
                <w:color w:val="FFFFFF" w:themeColor="background1"/>
                <w:sz w:val="20"/>
                <w:szCs w:val="20"/>
              </w:rPr>
            </w:pPr>
            <w:r>
              <w:rPr>
                <w:b/>
                <w:bCs/>
                <w:color w:val="FFFFFF" w:themeColor="background1"/>
                <w:sz w:val="20"/>
                <w:szCs w:val="20"/>
              </w:rPr>
              <w:t xml:space="preserve">Type of Needs: </w:t>
            </w:r>
          </w:p>
        </w:tc>
      </w:tr>
      <w:tr w:rsidTr="004B3F04">
        <w:tblPrEx>
          <w:tblW w:w="0" w:type="auto"/>
          <w:tblLook w:val="04A0"/>
        </w:tblPrEx>
        <w:tc>
          <w:tcPr>
            <w:tcW w:w="10780" w:type="dxa"/>
            <w:gridSpan w:val="3"/>
            <w:shd w:val="clear" w:color="auto" w:fill="auto"/>
          </w:tcPr>
          <w:p w:rsidR="004B3F04" w:rsidRPr="004B3F04" w:rsidP="00F37DB0">
            <w:pPr>
              <w:pStyle w:val="Default"/>
              <w:rPr>
                <w:color w:val="auto"/>
                <w:sz w:val="20"/>
                <w:szCs w:val="20"/>
              </w:rPr>
            </w:pPr>
          </w:p>
        </w:tc>
      </w:tr>
      <w:tr w:rsidTr="004B3F04">
        <w:tblPrEx>
          <w:tblW w:w="0" w:type="auto"/>
          <w:tblLook w:val="04A0"/>
        </w:tblPrEx>
        <w:tc>
          <w:tcPr>
            <w:tcW w:w="10780" w:type="dxa"/>
            <w:gridSpan w:val="3"/>
            <w:shd w:val="clear" w:color="auto" w:fill="00B1F1"/>
          </w:tcPr>
          <w:p w:rsidR="004B3F04" w:rsidP="004B3F04">
            <w:pPr>
              <w:pStyle w:val="Default"/>
              <w:jc w:val="center"/>
              <w:rPr>
                <w:color w:val="FFFFFF" w:themeColor="background1"/>
                <w:sz w:val="20"/>
                <w:szCs w:val="20"/>
              </w:rPr>
            </w:pPr>
          </w:p>
          <w:p w:rsidR="004B3F04" w:rsidRPr="004B3F04" w:rsidP="004B3F04">
            <w:pPr>
              <w:pStyle w:val="Default"/>
              <w:jc w:val="center"/>
              <w:rPr>
                <w:color w:val="FFFFFF" w:themeColor="background1"/>
                <w:sz w:val="20"/>
                <w:szCs w:val="20"/>
              </w:rPr>
            </w:pPr>
            <w:r>
              <w:rPr>
                <w:b/>
                <w:bCs/>
                <w:color w:val="FFFFFF"/>
                <w:sz w:val="20"/>
                <w:szCs w:val="20"/>
              </w:rPr>
              <w:t>The American Medical Association Physician’s Recognition Award and Continuing Medical Education Credit System</w:t>
            </w:r>
          </w:p>
        </w:tc>
      </w:tr>
      <w:tr w:rsidTr="004B3F04">
        <w:tblPrEx>
          <w:tblW w:w="0" w:type="auto"/>
          <w:tblLook w:val="04A0"/>
        </w:tblPrEx>
        <w:tc>
          <w:tcPr>
            <w:tcW w:w="10780" w:type="dxa"/>
            <w:gridSpan w:val="3"/>
            <w:shd w:val="clear" w:color="auto" w:fill="auto"/>
          </w:tcPr>
          <w:p w:rsidR="004B3F04" w:rsidRPr="004B3F04" w:rsidP="004B3F04">
            <w:pPr>
              <w:jc w:val="center"/>
              <w:rPr>
                <w:rFonts w:ascii="Calibri" w:hAnsi="Calibri" w:cs="Calibri"/>
                <w:color w:val="000080"/>
                <w:sz w:val="20"/>
                <w:szCs w:val="20"/>
              </w:rPr>
            </w:pPr>
          </w:p>
          <w:p w:rsidR="004B3F04" w:rsidRPr="004B3F04" w:rsidP="004B3F04">
            <w:pPr>
              <w:jc w:val="center"/>
              <w:rPr>
                <w:rFonts w:ascii="Calibri" w:hAnsi="Calibri" w:cs="Calibri"/>
                <w:sz w:val="20"/>
                <w:szCs w:val="20"/>
              </w:rPr>
            </w:pPr>
            <w:r w:rsidRPr="004B3F04">
              <w:rPr>
                <w:rFonts w:ascii="Calibri" w:hAnsi="Calibri" w:cs="Calibri"/>
                <w:color w:val="000080"/>
                <w:sz w:val="20"/>
                <w:szCs w:val="20"/>
              </w:rPr>
              <w:t>Saint John’s Health Center (SJHC) is accredited by the California Medical Association (CMA) to provide continuing medical education for physicians.</w:t>
            </w:r>
          </w:p>
          <w:p w:rsidR="004B3F04" w:rsidRPr="004B3F04" w:rsidP="004B3F04">
            <w:pPr>
              <w:jc w:val="center"/>
              <w:rPr>
                <w:rFonts w:ascii="Calibri" w:hAnsi="Calibri" w:cs="Calibri"/>
                <w:color w:val="333399"/>
                <w:sz w:val="10"/>
                <w:szCs w:val="10"/>
              </w:rPr>
            </w:pPr>
          </w:p>
          <w:p w:rsidR="004B3F04" w:rsidRPr="004B3F04" w:rsidP="004B3F04">
            <w:pPr>
              <w:jc w:val="center"/>
              <w:rPr>
                <w:rFonts w:ascii="Calibri" w:hAnsi="Calibri" w:cs="Calibri"/>
                <w:sz w:val="20"/>
                <w:szCs w:val="20"/>
              </w:rPr>
            </w:pPr>
            <w:r w:rsidRPr="004B3F04">
              <w:rPr>
                <w:rFonts w:ascii="Calibri" w:hAnsi="Calibri" w:cs="Calibri"/>
                <w:color w:val="000080"/>
                <w:sz w:val="20"/>
                <w:szCs w:val="20"/>
              </w:rPr>
              <w:t>SJHC designates this live activity for a maximum of</w:t>
            </w:r>
            <w:r>
              <w:rPr>
                <w:rFonts w:ascii="Calibri" w:hAnsi="Calibri" w:cs="Calibri"/>
                <w:color w:val="000080"/>
                <w:sz w:val="20"/>
                <w:szCs w:val="20"/>
              </w:rPr>
              <w:t xml:space="preserve"> </w:t>
            </w:r>
            <w:r w:rsidRPr="004B3F04">
              <w:rPr>
                <w:rFonts w:cstheme="minorHAnsi"/>
                <w:color w:val="000380"/>
                <w:sz w:val="20"/>
              </w:rPr>
              <w:fldChar w:fldCharType="begin"/>
            </w:r>
            <w:r w:rsidRPr="004B3F04">
              <w:rPr>
                <w:rFonts w:cstheme="minorHAnsi"/>
                <w:color w:val="000380"/>
                <w:sz w:val="20"/>
              </w:rPr>
              <w:instrText xml:space="preserve"> QUOTE </w:instrText>
            </w:r>
            <w:r w:rsidRPr="004B3F04">
              <w:rPr>
                <w:rFonts w:cstheme="minorHAnsi"/>
                <w:color w:val="000380"/>
                <w:sz w:val="20"/>
              </w:rPr>
              <w:fldChar w:fldCharType="begin"/>
            </w:r>
            <w:r w:rsidRPr="004B3F04">
              <w:rPr>
                <w:rFonts w:cstheme="minorHAnsi"/>
                <w:color w:val="000380"/>
                <w:sz w:val="20"/>
              </w:rPr>
              <w:instrText xml:space="preserve"> SET AMAM </w:instrText>
            </w:r>
            <w:r w:rsidRPr="004B3F04">
              <w:rPr>
                <w:rFonts w:cstheme="minorHAnsi"/>
                <w:color w:val="000380"/>
                <w:sz w:val="20"/>
              </w:rPr>
              <w:instrText>1.00</w:instrText>
            </w:r>
            <w:r w:rsidRPr="004B3F04">
              <w:rPr>
                <w:rFonts w:cstheme="minorHAnsi"/>
                <w:color w:val="000380"/>
                <w:sz w:val="20"/>
              </w:rPr>
              <w:instrText xml:space="preserve"> </w:instrText>
            </w:r>
            <w:r w:rsidRPr="004B3F04">
              <w:rPr>
                <w:rFonts w:cstheme="minorHAnsi"/>
                <w:color w:val="000380"/>
                <w:sz w:val="20"/>
              </w:rPr>
              <w:fldChar w:fldCharType="separate"/>
            </w:r>
            <w:bookmarkStart w:id="0" w:name="AMAM"/>
            <w:r w:rsidRPr="004B3F04">
              <w:rPr>
                <w:rFonts w:cstheme="minorHAnsi"/>
                <w:color w:val="000380"/>
                <w:sz w:val="20"/>
              </w:rPr>
              <w:instrText>1.00</w:instrText>
            </w:r>
            <w:bookmarkEnd w:id="0"/>
            <w:r w:rsidRPr="004B3F04">
              <w:rPr>
                <w:rFonts w:cstheme="minorHAnsi"/>
                <w:color w:val="000380"/>
                <w:sz w:val="20"/>
              </w:rPr>
              <w:fldChar w:fldCharType="end"/>
            </w:r>
            <w:r w:rsidRPr="004B3F04">
              <w:rPr>
                <w:rFonts w:cstheme="minorHAnsi"/>
                <w:color w:val="000380"/>
                <w:sz w:val="20"/>
              </w:rPr>
              <w:instrText xml:space="preserve">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fldChar w:fldCharType="begin"/>
            </w:r>
            <w:r w:rsidRPr="004B3F04">
              <w:rPr>
                <w:rFonts w:cstheme="minorHAnsi"/>
                <w:color w:val="000380"/>
                <w:sz w:val="20"/>
              </w:rPr>
              <w:instrText xml:space="preserve"> =INT(AMAM) \* CardText </w:instrText>
            </w:r>
            <w:r w:rsidRPr="004B3F04">
              <w:rPr>
                <w:rFonts w:cstheme="minorHAnsi"/>
                <w:color w:val="000380"/>
                <w:sz w:val="20"/>
              </w:rPr>
              <w:fldChar w:fldCharType="separate"/>
            </w:r>
            <w:r w:rsidRPr="004B3F04">
              <w:rPr>
                <w:rFonts w:cstheme="minorHAnsi"/>
                <w:color w:val="000380"/>
                <w:sz w:val="20"/>
              </w:rPr>
              <w:t>one</w:t>
            </w:r>
            <w:r w:rsidRPr="004B3F04">
              <w:rPr>
                <w:rFonts w:cstheme="minorHAnsi"/>
                <w:color w:val="000380"/>
                <w:sz w:val="20"/>
              </w:rPr>
              <w:fldChar w:fldCharType="end"/>
            </w:r>
            <w:r w:rsidRPr="004B3F04">
              <w:rPr>
                <w:rFonts w:cstheme="minorHAnsi"/>
                <w:color w:val="000380"/>
                <w:sz w:val="20"/>
              </w:rPr>
              <w:fldChar w:fldCharType="begin"/>
            </w:r>
            <w:r w:rsidRPr="004B3F04">
              <w:rPr>
                <w:rFonts w:cstheme="minorHAnsi"/>
                <w:color w:val="000380"/>
                <w:sz w:val="20"/>
              </w:rPr>
              <w:instrText xml:space="preserve"> IF </w:instrText>
            </w:r>
            <w:r w:rsidRPr="004B3F04">
              <w:rPr>
                <w:rFonts w:cstheme="minorHAnsi"/>
                <w:color w:val="000380"/>
                <w:sz w:val="20"/>
              </w:rPr>
              <w:fldChar w:fldCharType="begin"/>
            </w:r>
            <w:r w:rsidRPr="004B3F04">
              <w:rPr>
                <w:rFonts w:cstheme="minorHAnsi"/>
                <w:color w:val="000380"/>
                <w:sz w:val="20"/>
              </w:rPr>
              <w:instrText xml:space="preserve"> =AMAM-</w:instrText>
            </w:r>
            <w:r w:rsidRPr="004B3F04">
              <w:rPr>
                <w:rFonts w:cstheme="minorHAnsi"/>
                <w:color w:val="000380"/>
                <w:sz w:val="20"/>
              </w:rPr>
              <w:fldChar w:fldCharType="begin"/>
            </w:r>
            <w:r w:rsidRPr="004B3F04">
              <w:rPr>
                <w:rFonts w:cstheme="minorHAnsi"/>
                <w:color w:val="000380"/>
                <w:sz w:val="20"/>
              </w:rPr>
              <w:instrText xml:space="preserve"> =INT(AMAM) </w:instrText>
            </w:r>
            <w:r w:rsidRPr="004B3F04">
              <w:rPr>
                <w:rFonts w:cstheme="minorHAnsi"/>
                <w:color w:val="000380"/>
                <w:sz w:val="20"/>
              </w:rPr>
              <w:fldChar w:fldCharType="separate"/>
            </w:r>
            <w:r w:rsidRPr="004B3F04">
              <w:rPr>
                <w:rFonts w:cstheme="minorHAnsi"/>
                <w:color w:val="000380"/>
                <w:sz w:val="20"/>
              </w:rPr>
              <w:instrText>1</w:instrText>
            </w:r>
            <w:r w:rsidRPr="004B3F04">
              <w:rPr>
                <w:rFonts w:cstheme="minorHAnsi"/>
                <w:color w:val="000380"/>
                <w:sz w:val="20"/>
              </w:rPr>
              <w:fldChar w:fldCharType="end"/>
            </w:r>
            <w:r w:rsidRPr="004B3F04">
              <w:rPr>
                <w:rFonts w:cstheme="minorHAnsi"/>
                <w:color w:val="000380"/>
                <w:sz w:val="20"/>
              </w:rPr>
              <w:instrText xml:space="preserve"> </w:instrText>
            </w:r>
            <w:r w:rsidRPr="004B3F04">
              <w:rPr>
                <w:rFonts w:cstheme="minorHAnsi"/>
                <w:color w:val="000380"/>
                <w:sz w:val="20"/>
              </w:rPr>
              <w:fldChar w:fldCharType="separate"/>
            </w:r>
            <w:r w:rsidRPr="004B3F04">
              <w:rPr>
                <w:rFonts w:cstheme="minorHAnsi"/>
                <w:color w:val="000380"/>
                <w:sz w:val="20"/>
              </w:rPr>
              <w:instrText>0</w:instrText>
            </w:r>
            <w:r w:rsidRPr="004B3F04">
              <w:rPr>
                <w:rFonts w:cstheme="minorHAnsi"/>
                <w:color w:val="000380"/>
                <w:sz w:val="20"/>
              </w:rPr>
              <w:fldChar w:fldCharType="end"/>
            </w:r>
            <w:r w:rsidRPr="004B3F04">
              <w:rPr>
                <w:rFonts w:cstheme="minorHAnsi"/>
                <w:color w:val="000380"/>
                <w:sz w:val="20"/>
              </w:rPr>
              <w:instrText xml:space="preserve"> &gt; 0 " point </w:instrText>
            </w:r>
            <w:r w:rsidRPr="004B3F04">
              <w:rPr>
                <w:rFonts w:cstheme="minorHAnsi"/>
                <w:color w:val="000380"/>
                <w:sz w:val="20"/>
              </w:rPr>
              <w:fldChar w:fldCharType="begin"/>
            </w:r>
            <w:r w:rsidRPr="004B3F04">
              <w:rPr>
                <w:rFonts w:cstheme="minorHAnsi"/>
                <w:color w:val="000380"/>
                <w:sz w:val="20"/>
              </w:rPr>
              <w:instrText xml:space="preserve"> =MOD(AMAM,1)*100 \* CardText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instrText xml:space="preserve">" ""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t xml:space="preserve"> (</w:t>
            </w:r>
            <w:r w:rsidRPr="004B3F04">
              <w:rPr>
                <w:rFonts w:cstheme="minorHAnsi"/>
                <w:color w:val="000380"/>
                <w:sz w:val="20"/>
              </w:rPr>
              <w:t>1.00</w:t>
            </w:r>
            <w:r w:rsidRPr="004B3F04">
              <w:rPr>
                <w:rFonts w:cstheme="minorHAnsi"/>
                <w:color w:val="000380"/>
                <w:sz w:val="20"/>
              </w:rPr>
              <w:t>)</w:t>
            </w:r>
            <w:r w:rsidRPr="004B3F04">
              <w:rPr>
                <w:rFonts w:ascii="Calibri" w:hAnsi="Calibri" w:cs="Calibri"/>
                <w:color w:val="000080"/>
                <w:sz w:val="20"/>
                <w:szCs w:val="20"/>
              </w:rPr>
              <w:t xml:space="preserve"> </w:t>
            </w:r>
            <w:r w:rsidRPr="004B3F04">
              <w:rPr>
                <w:rFonts w:ascii="Calibri" w:hAnsi="Calibri" w:cs="Calibri"/>
                <w:i/>
                <w:iCs/>
                <w:color w:val="000080"/>
                <w:sz w:val="20"/>
                <w:szCs w:val="20"/>
              </w:rPr>
              <w:t>AMA PRA Category 1 Credit</w:t>
            </w:r>
            <w:r>
              <w:rPr>
                <w:rFonts w:ascii="Calibri" w:hAnsi="Calibri" w:cs="Calibri"/>
                <w:i/>
                <w:iCs/>
                <w:color w:val="000080"/>
                <w:sz w:val="20"/>
                <w:szCs w:val="20"/>
              </w:rPr>
              <w:t>(s)</w:t>
            </w:r>
            <w:r w:rsidRPr="004B3F04">
              <w:rPr>
                <w:rFonts w:ascii="Calibri" w:hAnsi="Calibri" w:cs="Calibri"/>
                <w:i/>
                <w:iCs/>
                <w:color w:val="000080"/>
                <w:sz w:val="20"/>
                <w:szCs w:val="20"/>
              </w:rPr>
              <w:t>™</w:t>
            </w:r>
            <w:r w:rsidRPr="004B3F04">
              <w:rPr>
                <w:rFonts w:ascii="Calibri" w:hAnsi="Calibri" w:cs="Calibri"/>
                <w:color w:val="000080"/>
                <w:sz w:val="20"/>
                <w:szCs w:val="20"/>
              </w:rPr>
              <w:t>. Physicians should claim only credit commensurate with the extent of their participation in the activity.</w:t>
            </w:r>
          </w:p>
          <w:p w:rsidR="004B3F04" w:rsidRPr="004B3F04" w:rsidP="004B3F04">
            <w:pPr>
              <w:jc w:val="center"/>
              <w:rPr>
                <w:rFonts w:ascii="Calibri" w:hAnsi="Calibri" w:cs="Calibri"/>
                <w:sz w:val="10"/>
                <w:szCs w:val="10"/>
              </w:rPr>
            </w:pPr>
          </w:p>
          <w:p w:rsidR="004B3F04" w:rsidRPr="004B3F04" w:rsidP="004B3F04">
            <w:pPr>
              <w:jc w:val="center"/>
              <w:rPr>
                <w:rFonts w:ascii="Calibri" w:hAnsi="Calibri" w:cs="Calibri"/>
                <w:color w:val="000080"/>
                <w:sz w:val="20"/>
                <w:szCs w:val="20"/>
              </w:rPr>
            </w:pPr>
            <w:r w:rsidRPr="004B3F04">
              <w:rPr>
                <w:rFonts w:ascii="Calibri" w:hAnsi="Calibri" w:cs="Calibri"/>
                <w:color w:val="000080"/>
                <w:sz w:val="20"/>
                <w:szCs w:val="20"/>
              </w:rPr>
              <w:t>This credit may also be applied to the CMA Certification in Continuing Medical Education.</w:t>
            </w:r>
          </w:p>
          <w:p w:rsidR="004B3F04" w:rsidRPr="004B3F04" w:rsidP="004B3F04">
            <w:pPr>
              <w:jc w:val="center"/>
              <w:rPr>
                <w:rFonts w:ascii="Calibri" w:hAnsi="Calibri" w:cs="Calibri"/>
                <w:color w:val="000080"/>
                <w:sz w:val="20"/>
                <w:szCs w:val="20"/>
              </w:rPr>
            </w:pPr>
          </w:p>
          <w:p w:rsidR="004B3F04" w:rsidP="004B3F04">
            <w:pPr>
              <w:jc w:val="center"/>
              <w:rPr>
                <w:rFonts w:ascii="Calibri" w:hAnsi="Calibri" w:cs="Calibri"/>
                <w:color w:val="000080"/>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Janie Grumley,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Parvin F. Peddi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- 03/10/2023</w:t>
                  </w:r>
                </w:p>
              </w:tc>
            </w:tr>
          </w:tbl>
          <w:p w:rsidR="005D3F06" w:rsidRPr="004B3F04">
            <w:pPr>
              <w:bidi w:val="0"/>
              <w:spacing w:after="280" w:afterAutospacing="1"/>
              <w:rPr>
                <w:rFonts w:ascii="Calibri" w:hAnsi="Calibri" w:cs="Calibri"/>
                <w:color w:val="000080"/>
                <w:sz w:val="20"/>
                <w:szCs w:val="20"/>
              </w:rPr>
            </w:pPr>
          </w:p>
          <w:p w:rsidR="004B3F04" w:rsidRPr="004B3F04" w:rsidP="004B3F04">
            <w:pPr>
              <w:jc w:val="center"/>
              <w:rPr>
                <w:rFonts w:ascii="Calibri" w:hAnsi="Calibri" w:cs="Calibri"/>
                <w:color w:val="000080"/>
                <w:sz w:val="20"/>
                <w:szCs w:val="20"/>
              </w:rPr>
            </w:pPr>
          </w:p>
          <w:p w:rsidR="004B3F04" w:rsidP="004B3F04">
            <w:pPr>
              <w:pStyle w:val="Default"/>
              <w:jc w:val="center"/>
              <w:rPr>
                <w:color w:val="0563C1"/>
                <w:sz w:val="20"/>
                <w:szCs w:val="20"/>
                <w:u w:val="single"/>
              </w:rPr>
            </w:pPr>
            <w:r w:rsidRPr="00C21004">
              <w:rPr>
                <w:b/>
                <w:bCs/>
                <w:color w:val="auto"/>
                <w:sz w:val="20"/>
                <w:szCs w:val="20"/>
              </w:rPr>
              <w:t>For questions or concerns email:</w:t>
            </w:r>
            <w:r w:rsidRPr="00C21004">
              <w:rPr>
                <w:color w:val="auto"/>
                <w:sz w:val="20"/>
                <w:szCs w:val="20"/>
              </w:rPr>
              <w:t xml:space="preserve"> </w:t>
            </w:r>
            <w:r>
              <w:fldChar w:fldCharType="begin"/>
            </w:r>
            <w:r>
              <w:instrText xml:space="preserve"> HYPERLINK "mailto:MedicalStaffServices2@providence.org" </w:instrText>
            </w:r>
            <w:r>
              <w:fldChar w:fldCharType="separate"/>
            </w:r>
            <w:r w:rsidRPr="00C21004">
              <w:rPr>
                <w:color w:val="0563C1"/>
                <w:sz w:val="20"/>
                <w:szCs w:val="20"/>
                <w:u w:val="single"/>
              </w:rPr>
              <w:t>MedicalStaffServices2@providence.org</w:t>
            </w:r>
            <w:r>
              <w:fldChar w:fldCharType="end"/>
            </w:r>
          </w:p>
          <w:p w:rsidR="00DC6AA4" w:rsidRPr="00DC6AA4" w:rsidP="00DC6AA4">
            <w:pPr>
              <w:jc w:val="center"/>
              <w:rPr>
                <w:rFonts w:ascii="Calibri" w:hAnsi="Calibri" w:cs="Calibri"/>
                <w:sz w:val="20"/>
                <w:szCs w:val="20"/>
              </w:rPr>
            </w:pPr>
            <w:r w:rsidRPr="00C21004">
              <w:rPr>
                <w:rFonts w:ascii="Calibri" w:hAnsi="Calibri" w:cs="Calibri"/>
                <w:sz w:val="20"/>
                <w:szCs w:val="20"/>
              </w:rPr>
              <w:t>This email does not accept incoming messages.</w:t>
            </w:r>
          </w:p>
        </w:tc>
      </w:tr>
    </w:tbl>
    <w:p w:rsidR="00611E9C" w:rsidRPr="00F37DB0" w:rsidP="00611E9C">
      <w:pPr>
        <w:ind w:right="4320"/>
        <w:rPr>
          <w:sz w:val="20"/>
          <w:szCs w:val="2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2</cp:revision>
  <dcterms:created xsi:type="dcterms:W3CDTF">2022-03-21T14:04:00Z</dcterms:created>
  <dcterms:modified xsi:type="dcterms:W3CDTF">2022-03-21T14:04:00Z</dcterms:modified>
</cp:coreProperties>
</file>